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09" w:rsidRPr="00A6570B" w:rsidRDefault="006C509E" w:rsidP="006D341B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>
            <wp:extent cx="5143500" cy="1781175"/>
            <wp:effectExtent l="19050" t="0" r="0" b="0"/>
            <wp:docPr id="2" name="Imagen 2" descr="Título (barras)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ítulo (barras)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D9" w:rsidRPr="00A6570B" w:rsidRDefault="00804FD9">
      <w:pPr>
        <w:rPr>
          <w:lang w:val="es-ES_tradnl"/>
        </w:rPr>
      </w:pPr>
    </w:p>
    <w:p w:rsidR="00EA4CE3" w:rsidRPr="00A6570B" w:rsidRDefault="00EA4CE3">
      <w:pPr>
        <w:rPr>
          <w:lang w:val="es-ES_tradnl"/>
        </w:rPr>
      </w:pPr>
    </w:p>
    <w:p w:rsidR="00EA4CE3" w:rsidRPr="00A6570B" w:rsidRDefault="00EA4CE3">
      <w:pPr>
        <w:rPr>
          <w:lang w:val="es-ES_tradnl"/>
        </w:rPr>
      </w:pPr>
    </w:p>
    <w:p w:rsidR="00A95AA2" w:rsidRPr="00A6570B" w:rsidRDefault="00323BC7" w:rsidP="00A95AA2">
      <w:pPr>
        <w:jc w:val="right"/>
        <w:rPr>
          <w:rFonts w:ascii="Arial" w:hAnsi="Arial" w:cs="Arial"/>
          <w:color w:val="333333"/>
          <w:sz w:val="18"/>
          <w:lang w:val="es-ES_tradnl"/>
        </w:rPr>
      </w:pPr>
      <w:r>
        <w:rPr>
          <w:rFonts w:ascii="Arial" w:hAnsi="Arial" w:cs="Arial"/>
          <w:color w:val="333333"/>
          <w:sz w:val="18"/>
          <w:lang w:val="es-ES_tradnl"/>
        </w:rPr>
        <w:t>Febr</w:t>
      </w:r>
      <w:r w:rsidR="00D9616D">
        <w:rPr>
          <w:rFonts w:ascii="Arial" w:hAnsi="Arial" w:cs="Arial"/>
          <w:color w:val="333333"/>
          <w:sz w:val="18"/>
          <w:lang w:val="es-ES_tradnl"/>
        </w:rPr>
        <w:t>ero</w:t>
      </w:r>
      <w:r w:rsidR="000145BE">
        <w:rPr>
          <w:rFonts w:ascii="Arial" w:hAnsi="Arial" w:cs="Arial"/>
          <w:color w:val="333333"/>
          <w:sz w:val="18"/>
          <w:lang w:val="es-ES_tradnl"/>
        </w:rPr>
        <w:t xml:space="preserve"> | 201</w:t>
      </w:r>
      <w:r w:rsidR="00D9616D">
        <w:rPr>
          <w:rFonts w:ascii="Arial" w:hAnsi="Arial" w:cs="Arial"/>
          <w:color w:val="333333"/>
          <w:sz w:val="18"/>
          <w:lang w:val="es-ES_tradnl"/>
        </w:rPr>
        <w:t>8</w:t>
      </w:r>
    </w:p>
    <w:p w:rsidR="00A60421" w:rsidRPr="00A6570B" w:rsidRDefault="00A60421">
      <w:pPr>
        <w:rPr>
          <w:lang w:val="es-ES_tradnl"/>
        </w:rPr>
      </w:pPr>
      <w:bookmarkStart w:id="0" w:name="_GoBack"/>
      <w:bookmarkEnd w:id="0"/>
    </w:p>
    <w:p w:rsidR="00E930B1" w:rsidRPr="002F7B2E" w:rsidRDefault="002F7B2E" w:rsidP="00E930B1">
      <w:pPr>
        <w:pStyle w:val="Ttulo4"/>
        <w:rPr>
          <w:rFonts w:ascii="Verdana" w:hAnsi="Verdana"/>
          <w:b w:val="0"/>
          <w:sz w:val="40"/>
          <w:szCs w:val="40"/>
        </w:rPr>
      </w:pPr>
      <w:r w:rsidRPr="002F7B2E">
        <w:rPr>
          <w:rFonts w:ascii="Verdana" w:hAnsi="Verdana"/>
          <w:b w:val="0"/>
          <w:sz w:val="40"/>
          <w:szCs w:val="40"/>
        </w:rPr>
        <w:t xml:space="preserve">Situación </w:t>
      </w:r>
      <w:r w:rsidR="00323BC7">
        <w:rPr>
          <w:rFonts w:ascii="Verdana" w:hAnsi="Verdana"/>
          <w:b w:val="0"/>
          <w:sz w:val="40"/>
          <w:szCs w:val="40"/>
        </w:rPr>
        <w:t>financiera y ahorro en los hogares</w:t>
      </w:r>
    </w:p>
    <w:p w:rsidR="00E930B1" w:rsidRPr="002E2B5F" w:rsidRDefault="00E930B1" w:rsidP="00E930B1">
      <w:pPr>
        <w:pStyle w:val="Ttulo4"/>
        <w:rPr>
          <w:rFonts w:ascii="Verdana" w:hAnsi="Verdana"/>
          <w:b w:val="0"/>
          <w:color w:val="FFFFFF"/>
          <w:sz w:val="56"/>
          <w:szCs w:val="56"/>
        </w:rPr>
      </w:pPr>
    </w:p>
    <w:p w:rsidR="002D7822" w:rsidRPr="002D7822" w:rsidRDefault="007373FA" w:rsidP="0071022B">
      <w:pPr>
        <w:pStyle w:val="Adentrado1conpuntonaranja"/>
        <w:spacing w:before="240" w:after="240"/>
        <w:ind w:left="568" w:right="284"/>
        <w:rPr>
          <w:rFonts w:cs="Tahoma"/>
          <w:b/>
          <w:bCs/>
          <w:color w:val="0D0D0D"/>
          <w:sz w:val="28"/>
          <w:szCs w:val="28"/>
        </w:rPr>
      </w:pPr>
      <w:r>
        <w:rPr>
          <w:b/>
          <w:sz w:val="28"/>
          <w:szCs w:val="28"/>
          <w:lang w:val="es-ES"/>
        </w:rPr>
        <w:t>En más de la mitad de los hogares españoles no pueden ahorrar. En e</w:t>
      </w:r>
      <w:r w:rsidR="002D7822">
        <w:rPr>
          <w:b/>
          <w:sz w:val="28"/>
          <w:szCs w:val="28"/>
          <w:lang w:val="es-ES"/>
        </w:rPr>
        <w:t>l 46</w:t>
      </w:r>
      <w:r w:rsidR="00431756">
        <w:rPr>
          <w:b/>
          <w:sz w:val="28"/>
          <w:szCs w:val="28"/>
          <w:lang w:val="es-ES"/>
        </w:rPr>
        <w:t>,0</w:t>
      </w:r>
      <w:r w:rsidR="002D7822">
        <w:rPr>
          <w:b/>
          <w:sz w:val="28"/>
          <w:szCs w:val="28"/>
          <w:lang w:val="es-ES"/>
        </w:rPr>
        <w:t>%</w:t>
      </w:r>
      <w:r w:rsidR="002D7822" w:rsidRPr="002D7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llegan justos a final de mes y en el 16,8% deben utilizar sus ahorros o endeudarse</w:t>
      </w:r>
      <w:r w:rsidR="002D7822" w:rsidRPr="002D7822">
        <w:rPr>
          <w:b/>
          <w:sz w:val="28"/>
          <w:szCs w:val="28"/>
        </w:rPr>
        <w:t>.</w:t>
      </w:r>
    </w:p>
    <w:p w:rsidR="0000044D" w:rsidRPr="002D7822" w:rsidRDefault="0000044D" w:rsidP="0071022B">
      <w:pPr>
        <w:pStyle w:val="Adentrado1conpuntonaranja"/>
        <w:tabs>
          <w:tab w:val="clear" w:pos="680"/>
          <w:tab w:val="clear" w:pos="757"/>
          <w:tab w:val="left" w:pos="567"/>
        </w:tabs>
        <w:spacing w:before="240" w:after="240"/>
        <w:ind w:left="568" w:right="284"/>
        <w:rPr>
          <w:rFonts w:cs="Tahoma"/>
          <w:b/>
          <w:bCs/>
          <w:color w:val="0D0D0D"/>
          <w:sz w:val="28"/>
          <w:szCs w:val="28"/>
        </w:rPr>
      </w:pPr>
      <w:r w:rsidRPr="002D7822">
        <w:rPr>
          <w:rFonts w:cs="Tahoma"/>
          <w:b/>
          <w:sz w:val="28"/>
          <w:szCs w:val="28"/>
          <w:lang w:val="es-ES"/>
        </w:rPr>
        <w:t xml:space="preserve">Casi </w:t>
      </w:r>
      <w:r w:rsidR="00751F2E">
        <w:rPr>
          <w:rFonts w:cs="Tahoma"/>
          <w:b/>
          <w:sz w:val="28"/>
          <w:szCs w:val="28"/>
          <w:lang w:val="es-ES"/>
        </w:rPr>
        <w:t>seis</w:t>
      </w:r>
      <w:r w:rsidRPr="002D7822">
        <w:rPr>
          <w:rFonts w:cs="Tahoma"/>
          <w:b/>
          <w:sz w:val="28"/>
          <w:szCs w:val="28"/>
        </w:rPr>
        <w:t xml:space="preserve"> de cada diez ciudadanos (58,6%) a final de año consideraban el momento malo o muy malo para ahorrar, mientras el 39,3% consideraban que era </w:t>
      </w:r>
      <w:r w:rsidR="002D7822" w:rsidRPr="002D7822">
        <w:rPr>
          <w:rFonts w:cs="Tahoma"/>
          <w:b/>
          <w:sz w:val="28"/>
          <w:szCs w:val="28"/>
        </w:rPr>
        <w:t>buen</w:t>
      </w:r>
      <w:r w:rsidRPr="002D7822">
        <w:rPr>
          <w:rFonts w:cs="Tahoma"/>
          <w:b/>
          <w:sz w:val="28"/>
          <w:szCs w:val="28"/>
        </w:rPr>
        <w:t xml:space="preserve">o o muy </w:t>
      </w:r>
      <w:r w:rsidR="002D7822" w:rsidRPr="002D7822">
        <w:rPr>
          <w:rFonts w:cs="Tahoma"/>
          <w:b/>
          <w:sz w:val="28"/>
          <w:szCs w:val="28"/>
        </w:rPr>
        <w:t>bueno</w:t>
      </w:r>
      <w:r w:rsidRPr="002D7822">
        <w:rPr>
          <w:rFonts w:cs="Tahoma"/>
          <w:b/>
          <w:sz w:val="28"/>
          <w:szCs w:val="28"/>
        </w:rPr>
        <w:t>.</w:t>
      </w:r>
    </w:p>
    <w:p w:rsidR="002D7822" w:rsidRPr="002D7822" w:rsidRDefault="002D7822" w:rsidP="0071022B">
      <w:pPr>
        <w:pStyle w:val="Adentrado1conpuntonaranja"/>
        <w:tabs>
          <w:tab w:val="clear" w:pos="680"/>
          <w:tab w:val="clear" w:pos="757"/>
          <w:tab w:val="left" w:pos="567"/>
        </w:tabs>
        <w:spacing w:before="240" w:after="240"/>
        <w:ind w:left="568" w:right="284"/>
        <w:rPr>
          <w:rFonts w:cs="Tahoma"/>
          <w:b/>
          <w:bCs/>
          <w:color w:val="0D0D0D"/>
          <w:sz w:val="28"/>
          <w:szCs w:val="28"/>
        </w:rPr>
      </w:pPr>
      <w:r w:rsidRPr="002D7822">
        <w:rPr>
          <w:b/>
          <w:sz w:val="28"/>
          <w:szCs w:val="28"/>
        </w:rPr>
        <w:t>El 55,4% de los españoles manifiestan que durante los próximos doce meses probablemente o con seguridad no ahorrarán, mientras que el 43,6% opinan que sí existe al menos alguna probabilidad.</w:t>
      </w:r>
    </w:p>
    <w:p w:rsidR="00F3201C" w:rsidRPr="00A8278C" w:rsidRDefault="00F3201C" w:rsidP="00987315">
      <w:pPr>
        <w:pStyle w:val="Adentrado1conpuntonaranja"/>
        <w:numPr>
          <w:ilvl w:val="0"/>
          <w:numId w:val="0"/>
        </w:numPr>
        <w:tabs>
          <w:tab w:val="clear" w:pos="680"/>
          <w:tab w:val="left" w:pos="567"/>
        </w:tabs>
        <w:spacing w:before="240" w:after="240" w:line="360" w:lineRule="auto"/>
        <w:ind w:left="568" w:right="284"/>
        <w:rPr>
          <w:rFonts w:ascii="Arial" w:hAnsi="Arial" w:cs="Arial"/>
          <w:b/>
          <w:bCs/>
          <w:color w:val="0D0D0D"/>
          <w:sz w:val="28"/>
          <w:szCs w:val="28"/>
        </w:rPr>
      </w:pPr>
    </w:p>
    <w:p w:rsidR="00DB0584" w:rsidRPr="00A6570B" w:rsidRDefault="00DB0584" w:rsidP="000140F4">
      <w:pPr>
        <w:jc w:val="right"/>
        <w:rPr>
          <w:rFonts w:ascii="Arial" w:hAnsi="Arial" w:cs="Arial"/>
          <w:color w:val="333333"/>
          <w:sz w:val="18"/>
          <w:lang w:val="es-ES_tradnl"/>
        </w:rPr>
        <w:sectPr w:rsidR="00DB0584" w:rsidRPr="00A6570B" w:rsidSect="00371D09">
          <w:headerReference w:type="default" r:id="rId9"/>
          <w:footerReference w:type="first" r:id="rId10"/>
          <w:pgSz w:w="11906" w:h="16838" w:code="9"/>
          <w:pgMar w:top="1134" w:right="1701" w:bottom="1418" w:left="1701" w:header="709" w:footer="709" w:gutter="0"/>
          <w:cols w:space="708"/>
          <w:titlePg/>
          <w:docGrid w:linePitch="360"/>
        </w:sectPr>
      </w:pPr>
    </w:p>
    <w:p w:rsidR="00220D7D" w:rsidRDefault="00220D7D" w:rsidP="00220D7D">
      <w:pPr>
        <w:spacing w:before="120" w:after="120"/>
        <w:jc w:val="both"/>
        <w:rPr>
          <w:rFonts w:ascii="Tahoma" w:hAnsi="Tahoma"/>
          <w:b/>
          <w:color w:val="808080"/>
          <w:sz w:val="22"/>
          <w:szCs w:val="22"/>
        </w:rPr>
      </w:pPr>
      <w:r>
        <w:rPr>
          <w:rFonts w:ascii="Tahoma" w:hAnsi="Tahoma"/>
          <w:b/>
          <w:color w:val="808080"/>
          <w:sz w:val="22"/>
          <w:szCs w:val="22"/>
        </w:rPr>
        <w:lastRenderedPageBreak/>
        <w:t>Algo menos de la mitad de los españoles declaran que en sus hogares tienen los ingresos justos para llegar a final de mes, algo más de uno de cada tres que les permiten ahorrar al menos algo y algo menos de dos de cada diez que esos ingresos no les son suficientes y deben utilizar sus ahorros o endeudarse,</w:t>
      </w:r>
      <w:r w:rsidRPr="00220D7D">
        <w:rPr>
          <w:rFonts w:ascii="Tahoma" w:hAnsi="Tahoma"/>
          <w:b/>
          <w:color w:val="808080"/>
          <w:sz w:val="22"/>
          <w:szCs w:val="22"/>
        </w:rPr>
        <w:t xml:space="preserve"> </w:t>
      </w:r>
      <w:r w:rsidRPr="003A4973">
        <w:rPr>
          <w:rFonts w:ascii="Tahoma" w:hAnsi="Tahoma"/>
          <w:b/>
          <w:color w:val="808080"/>
          <w:sz w:val="22"/>
          <w:szCs w:val="22"/>
        </w:rPr>
        <w:t>según se desprende de los resultados de la encuesta de</w:t>
      </w:r>
      <w:r>
        <w:rPr>
          <w:rFonts w:ascii="Tahoma" w:hAnsi="Tahoma"/>
          <w:b/>
          <w:color w:val="808080"/>
          <w:sz w:val="22"/>
          <w:szCs w:val="22"/>
        </w:rPr>
        <w:t xml:space="preserve"> los Índices de Opinión Pública</w:t>
      </w:r>
      <w:r w:rsidRPr="003A4973">
        <w:rPr>
          <w:rFonts w:ascii="Tahoma" w:hAnsi="Tahoma"/>
          <w:b/>
          <w:color w:val="808080"/>
          <w:sz w:val="22"/>
          <w:szCs w:val="22"/>
        </w:rPr>
        <w:t xml:space="preserve"> </w:t>
      </w:r>
      <w:r>
        <w:rPr>
          <w:rFonts w:ascii="Tahoma" w:hAnsi="Tahoma"/>
          <w:b/>
          <w:color w:val="808080"/>
          <w:sz w:val="22"/>
          <w:szCs w:val="22"/>
        </w:rPr>
        <w:t>(</w:t>
      </w:r>
      <w:r w:rsidRPr="003A4973">
        <w:rPr>
          <w:rFonts w:ascii="Tahoma" w:hAnsi="Tahoma"/>
          <w:b/>
          <w:color w:val="808080"/>
          <w:sz w:val="22"/>
          <w:szCs w:val="22"/>
        </w:rPr>
        <w:t>IOP</w:t>
      </w:r>
      <w:r>
        <w:rPr>
          <w:rFonts w:ascii="Tahoma" w:hAnsi="Tahoma"/>
          <w:b/>
          <w:color w:val="808080"/>
          <w:sz w:val="22"/>
          <w:szCs w:val="22"/>
        </w:rPr>
        <w:t>)</w:t>
      </w:r>
      <w:r w:rsidRPr="003A4973">
        <w:rPr>
          <w:rFonts w:ascii="Tahoma" w:hAnsi="Tahoma"/>
          <w:b/>
          <w:color w:val="808080"/>
          <w:sz w:val="22"/>
          <w:szCs w:val="22"/>
        </w:rPr>
        <w:t xml:space="preserve"> de Simple Lógica</w:t>
      </w:r>
      <w:r w:rsidRPr="00F017C4">
        <w:rPr>
          <w:rFonts w:ascii="Tahoma" w:hAnsi="Tahoma"/>
          <w:b/>
          <w:color w:val="808080"/>
          <w:sz w:val="22"/>
          <w:szCs w:val="22"/>
        </w:rPr>
        <w:t>, realizada en el pasado mes de diciembre y cofinanciada por la Comisión Europea</w:t>
      </w:r>
      <w:r>
        <w:rPr>
          <w:rFonts w:ascii="Tahoma" w:hAnsi="Tahoma"/>
          <w:b/>
          <w:color w:val="808080"/>
          <w:sz w:val="22"/>
          <w:szCs w:val="22"/>
        </w:rPr>
        <w:t>.</w:t>
      </w:r>
    </w:p>
    <w:p w:rsidR="00220D7D" w:rsidRPr="0089390A" w:rsidRDefault="00220D7D" w:rsidP="0089390A">
      <w:pPr>
        <w:pStyle w:val="Adentrado-1"/>
        <w:spacing w:before="240" w:after="240"/>
        <w:ind w:left="-709" w:right="-567" w:firstLine="0"/>
        <w:jc w:val="left"/>
        <w:rPr>
          <w:noProof/>
        </w:rPr>
      </w:pPr>
      <w:r w:rsidRPr="0089390A">
        <w:rPr>
          <w:noProof/>
        </w:rPr>
        <w:drawing>
          <wp:inline distT="0" distB="0" distL="0" distR="0">
            <wp:extent cx="3468441" cy="2612899"/>
            <wp:effectExtent l="19050" t="0" r="0" b="0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41" cy="261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7D" w:rsidRDefault="00220D7D" w:rsidP="00220D7D">
      <w:pPr>
        <w:pStyle w:val="Adentrado-1"/>
        <w:spacing w:before="120" w:after="120"/>
      </w:pPr>
      <w:r>
        <w:t>Las di</w:t>
      </w:r>
      <w:r w:rsidR="007373FA">
        <w:t>ferencias de situación aparecen asociadas a variables como el sexo la edad o el nivel de estudios, pero especialmente al nivel de ingresos del hogar</w:t>
      </w:r>
      <w:r>
        <w:t>.</w:t>
      </w:r>
    </w:p>
    <w:p w:rsidR="007373FA" w:rsidRDefault="007373FA" w:rsidP="00220D7D">
      <w:pPr>
        <w:pStyle w:val="Adentrado-1"/>
        <w:spacing w:before="120" w:after="120"/>
      </w:pPr>
      <w:r>
        <w:t>Efectivamente, la capacidad de ahorro aparece directamente vinculada a los ingresos del hogar, como por otra parte es lógico esperar.</w:t>
      </w:r>
      <w:r w:rsidR="00ED58BF">
        <w:t xml:space="preserve"> Los hogares con alguna capacidad de ahorro suponen una proporción muy reducida (14,1%) entre los que declaran tener unos ingresos </w:t>
      </w:r>
      <w:r w:rsidR="00E20C4D">
        <w:t xml:space="preserve">mensuales de hasta 1.000 euros, que representan en torno al 25% de quienes declaran esos ingresos en la encuesta, y es superior, pero todavía minoritaria (27,1%), en el conjunto de los que declaran unos ingresos del hogar de entre 1.000 y 1.500 euros, que suponen una proporción similar a la señalada para los que tienen unos ingresos inferiores. Incluso entre quienes declaran unos ingresos del hogar de entre 1.500 y 2.500 euros, que suponen aproximadamente el 30% de los hogares de los que se declaran los ingresos en la encuesta, el porcentaje de los que indican poder ahorrar algo </w:t>
      </w:r>
      <w:r w:rsidR="00E20C4D">
        <w:lastRenderedPageBreak/>
        <w:t>(43,0%) e</w:t>
      </w:r>
      <w:r w:rsidR="00730993">
        <w:t>s</w:t>
      </w:r>
      <w:r w:rsidR="00E20C4D">
        <w:t xml:space="preserve"> inferior al que suponen el conjunto de los que no pueden hacerlo porque dicen que en sus hogares llegan justo a final de mes, están utilizando ahorros o directamente endeudándose (57,1%).</w:t>
      </w:r>
    </w:p>
    <w:tbl>
      <w:tblPr>
        <w:tblW w:w="54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11"/>
        <w:gridCol w:w="518"/>
        <w:gridCol w:w="558"/>
        <w:gridCol w:w="624"/>
        <w:gridCol w:w="558"/>
        <w:gridCol w:w="558"/>
        <w:gridCol w:w="426"/>
      </w:tblGrid>
      <w:tr w:rsidR="00D42433" w:rsidRPr="00D008C8" w:rsidTr="00D42433">
        <w:trPr>
          <w:cantSplit/>
        </w:trPr>
        <w:tc>
          <w:tcPr>
            <w:tcW w:w="5453" w:type="dxa"/>
            <w:gridSpan w:val="7"/>
            <w:tcBorders>
              <w:top w:val="nil"/>
              <w:left w:val="single" w:sz="8" w:space="0" w:color="FFFFFF"/>
            </w:tcBorders>
            <w:shd w:val="clear" w:color="auto" w:fill="auto"/>
            <w:vAlign w:val="center"/>
            <w:hideMark/>
          </w:tcPr>
          <w:p w:rsidR="00D42433" w:rsidRPr="005024B1" w:rsidRDefault="00D42433" w:rsidP="00D4243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val="es-ES_tradnl" w:eastAsia="es-ES_tradnl"/>
              </w:rPr>
              <w:t>¿Cuál de las siguientes frases es la que mejor describiría la situación financiera de su hogar</w:t>
            </w:r>
          </w:p>
        </w:tc>
      </w:tr>
      <w:tr w:rsidR="00220D7D" w:rsidRPr="00D008C8" w:rsidTr="00D42433">
        <w:trPr>
          <w:cantSplit/>
          <w:trHeight w:val="2155"/>
        </w:trPr>
        <w:tc>
          <w:tcPr>
            <w:tcW w:w="2211" w:type="dxa"/>
            <w:tcBorders>
              <w:left w:val="single" w:sz="8" w:space="0" w:color="FFFFFF"/>
              <w:bottom w:val="single" w:sz="8" w:space="0" w:color="FF6141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220D7D" w:rsidRPr="00D008C8" w:rsidRDefault="00220D7D" w:rsidP="00D42433">
            <w:pPr>
              <w:rPr>
                <w:rFonts w:ascii="Tahoma" w:hAnsi="Tahoma" w:cs="Tahoma"/>
                <w:color w:val="000000"/>
                <w:sz w:val="18"/>
                <w:szCs w:val="18"/>
                <w:lang w:val="es-ES_tradnl" w:eastAsia="es-ES_tradnl"/>
              </w:rPr>
            </w:pPr>
            <w:r w:rsidRPr="00D008C8">
              <w:rPr>
                <w:rFonts w:ascii="Tahoma" w:hAnsi="Tahoma" w:cs="Tahoma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18" w:type="dxa"/>
            <w:tcBorders>
              <w:left w:val="nil"/>
              <w:right w:val="single" w:sz="8" w:space="0" w:color="FFFFFF" w:themeColor="background1"/>
            </w:tcBorders>
            <w:shd w:val="clear" w:color="auto" w:fill="1DBD5E"/>
            <w:textDirection w:val="btLr"/>
            <w:vAlign w:val="center"/>
            <w:hideMark/>
          </w:tcPr>
          <w:p w:rsidR="00220D7D" w:rsidRPr="005024B1" w:rsidRDefault="00220D7D" w:rsidP="0089390A">
            <w:pPr>
              <w:spacing w:line="216" w:lineRule="auto"/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5024B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Estamos ahorrando mucho</w:t>
            </w:r>
          </w:p>
        </w:tc>
        <w:tc>
          <w:tcPr>
            <w:tcW w:w="55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DBD5E"/>
            <w:textDirection w:val="btLr"/>
            <w:vAlign w:val="center"/>
            <w:hideMark/>
          </w:tcPr>
          <w:p w:rsidR="00220D7D" w:rsidRPr="005024B1" w:rsidRDefault="00220D7D" w:rsidP="0089390A">
            <w:pPr>
              <w:spacing w:line="216" w:lineRule="auto"/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5024B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Estamos ahorrando un poco</w:t>
            </w:r>
          </w:p>
        </w:tc>
        <w:tc>
          <w:tcPr>
            <w:tcW w:w="62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DBD5E"/>
            <w:textDirection w:val="btLr"/>
            <w:vAlign w:val="center"/>
            <w:hideMark/>
          </w:tcPr>
          <w:p w:rsidR="00220D7D" w:rsidRPr="005024B1" w:rsidRDefault="00220D7D" w:rsidP="00D42433">
            <w:pPr>
              <w:spacing w:line="204" w:lineRule="auto"/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Logramos llegar justo a final de mes con nuestros ingresos</w:t>
            </w:r>
          </w:p>
        </w:tc>
        <w:tc>
          <w:tcPr>
            <w:tcW w:w="55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DBD5E"/>
            <w:textDirection w:val="btLr"/>
            <w:vAlign w:val="center"/>
          </w:tcPr>
          <w:p w:rsidR="00220D7D" w:rsidRPr="005024B1" w:rsidRDefault="00220D7D" w:rsidP="0089390A">
            <w:pPr>
              <w:spacing w:line="216" w:lineRule="auto"/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5024B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Tenemos que recurrir a nuestros ahorros</w:t>
            </w:r>
          </w:p>
        </w:tc>
        <w:tc>
          <w:tcPr>
            <w:tcW w:w="558" w:type="dxa"/>
            <w:tcBorders>
              <w:left w:val="single" w:sz="8" w:space="0" w:color="FFFFFF" w:themeColor="background1"/>
              <w:bottom w:val="single" w:sz="8" w:space="0" w:color="FF6141"/>
              <w:right w:val="single" w:sz="8" w:space="0" w:color="FFFFFF" w:themeColor="background1"/>
            </w:tcBorders>
            <w:shd w:val="clear" w:color="auto" w:fill="1DBD5E"/>
            <w:textDirection w:val="btLr"/>
            <w:vAlign w:val="center"/>
          </w:tcPr>
          <w:p w:rsidR="00220D7D" w:rsidRPr="005024B1" w:rsidRDefault="00220D7D" w:rsidP="0089390A">
            <w:pPr>
              <w:spacing w:line="216" w:lineRule="auto"/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5024B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Nos estamos endeudando</w:t>
            </w:r>
          </w:p>
        </w:tc>
        <w:tc>
          <w:tcPr>
            <w:tcW w:w="426" w:type="dxa"/>
            <w:tcBorders>
              <w:left w:val="single" w:sz="8" w:space="0" w:color="FFFFFF" w:themeColor="background1"/>
              <w:bottom w:val="single" w:sz="8" w:space="0" w:color="FF6141"/>
              <w:right w:val="single" w:sz="8" w:space="0" w:color="1DBD5E"/>
            </w:tcBorders>
            <w:shd w:val="clear" w:color="auto" w:fill="1DBD5E"/>
            <w:textDirection w:val="btLr"/>
            <w:vAlign w:val="center"/>
            <w:hideMark/>
          </w:tcPr>
          <w:p w:rsidR="00220D7D" w:rsidRPr="005024B1" w:rsidRDefault="00220D7D" w:rsidP="0089390A">
            <w:pPr>
              <w:spacing w:line="216" w:lineRule="auto"/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5024B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NS/NC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single" w:sz="8" w:space="0" w:color="FF6141"/>
              <w:left w:val="single" w:sz="8" w:space="0" w:color="FF6141"/>
              <w:right w:val="single" w:sz="8" w:space="0" w:color="FFFFFF" w:themeColor="background1"/>
            </w:tcBorders>
            <w:shd w:val="clear" w:color="auto" w:fill="FF6141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 w:firstLineChars="200" w:firstLine="361"/>
              <w:jc w:val="right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TOTAL</w:t>
            </w:r>
          </w:p>
        </w:tc>
        <w:tc>
          <w:tcPr>
            <w:tcW w:w="518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6141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3,0</w:t>
            </w:r>
          </w:p>
        </w:tc>
        <w:tc>
          <w:tcPr>
            <w:tcW w:w="558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6141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34,0</w:t>
            </w:r>
          </w:p>
        </w:tc>
        <w:tc>
          <w:tcPr>
            <w:tcW w:w="624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6141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46,0</w:t>
            </w:r>
          </w:p>
        </w:tc>
        <w:tc>
          <w:tcPr>
            <w:tcW w:w="558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6141"/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9,7</w:t>
            </w:r>
          </w:p>
        </w:tc>
        <w:tc>
          <w:tcPr>
            <w:tcW w:w="558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6141"/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7,1</w:t>
            </w:r>
          </w:p>
        </w:tc>
        <w:tc>
          <w:tcPr>
            <w:tcW w:w="426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6141"/>
            </w:tcBorders>
            <w:shd w:val="clear" w:color="auto" w:fill="FF6141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0,3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sexo:</w:t>
            </w:r>
          </w:p>
        </w:tc>
        <w:tc>
          <w:tcPr>
            <w:tcW w:w="518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426" w:type="dxa"/>
            <w:tcBorders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Hombre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3,8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38,2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42,3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9,4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6,0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0,2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Mujer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2,2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30,0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49,4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10,0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8,1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0,3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edad:</w:t>
            </w:r>
          </w:p>
        </w:tc>
        <w:tc>
          <w:tcPr>
            <w:tcW w:w="51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4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16 a 24 años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8,4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43,4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36,4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7,0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3,9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1,0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25 a 34 años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4,8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41,3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35,8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9,5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7,5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1,1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35 a 44 años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2,9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36,9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43,6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7,4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9,1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45 a 54 años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2,2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33,2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45,1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10,6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9,0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55 a 64 años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1,8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27,4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52,1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10,0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8,7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65 y más años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0,7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27,0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56,2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12,4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3,8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estudios:</w:t>
            </w:r>
          </w:p>
        </w:tc>
        <w:tc>
          <w:tcPr>
            <w:tcW w:w="51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4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D42433">
            <w:pPr>
              <w:spacing w:before="40" w:after="40"/>
              <w:ind w:left="-113"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Primarios/Obligatorios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1,4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20,7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56,0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11,3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10,5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0,1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Secundarios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3,9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32,5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49,5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9,0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4,9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0,3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Universitarios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3,8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51,9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29,1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8,9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6,0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0,3</w:t>
            </w:r>
          </w:p>
        </w:tc>
      </w:tr>
      <w:tr w:rsidR="00E70429" w:rsidRPr="00D008C8" w:rsidTr="00E70429">
        <w:trPr>
          <w:cantSplit/>
          <w:trHeight w:val="450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70429" w:rsidRPr="00F3010A" w:rsidRDefault="00E70429" w:rsidP="00E70429">
            <w:pPr>
              <w:spacing w:before="40" w:after="40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 xml:space="preserve">Según 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ingresos mensuales del hogar</w:t>
            </w: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51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70429" w:rsidRPr="00F3010A" w:rsidRDefault="00E70429" w:rsidP="00E7042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70429" w:rsidRPr="00F3010A" w:rsidRDefault="00E70429" w:rsidP="00E7042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70429" w:rsidRPr="00F3010A" w:rsidRDefault="00E70429" w:rsidP="00E7042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</w:tcPr>
          <w:p w:rsidR="00E70429" w:rsidRPr="00F3010A" w:rsidRDefault="00E70429" w:rsidP="00E7042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</w:tcPr>
          <w:p w:rsidR="00E70429" w:rsidRPr="00F3010A" w:rsidRDefault="00E70429" w:rsidP="00E7042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4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E70429" w:rsidRPr="00F3010A" w:rsidRDefault="00E70429" w:rsidP="00E7042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E70429" w:rsidRPr="00D008C8" w:rsidTr="00E70429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Hasta 1.000 €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0,5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13,6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53,6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bottom"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14,8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bottom"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17,1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0,5</w:t>
            </w:r>
          </w:p>
        </w:tc>
      </w:tr>
      <w:tr w:rsidR="00E70429" w:rsidRPr="00D008C8" w:rsidTr="00E70429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1.001 a 1.500 €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1,4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25,7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54,7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bottom"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12,5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bottom"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5,7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  <w:tr w:rsidR="00E70429" w:rsidRPr="00D008C8" w:rsidTr="00E70429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1.501 a 2.500€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1,9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41,1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46,1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bottom"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7,0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bottom"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4,0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  <w:tr w:rsidR="00E70429" w:rsidRPr="00D008C8" w:rsidTr="00E70429">
        <w:trPr>
          <w:cantSplit/>
          <w:trHeight w:val="300"/>
        </w:trPr>
        <w:tc>
          <w:tcPr>
            <w:tcW w:w="221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Más de 2.500€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ind w:left="-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10,7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58,8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22,1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vAlign w:val="bottom"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4,6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vAlign w:val="bottom"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3,7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70429" w:rsidRPr="00E70429" w:rsidRDefault="00E70429" w:rsidP="00E704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  <w:tr w:rsidR="00220D7D" w:rsidRPr="00D008C8" w:rsidTr="00D42433">
        <w:trPr>
          <w:cantSplit/>
          <w:trHeight w:val="450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D42433">
            <w:pPr>
              <w:spacing w:before="40" w:after="40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partido votado Elecc. Generales 2016:</w:t>
            </w:r>
          </w:p>
        </w:tc>
        <w:tc>
          <w:tcPr>
            <w:tcW w:w="51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55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4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PP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2,5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37,0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46,1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9,7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4,6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PSOE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1,2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28,4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47,6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11,1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11,1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0,6</w:t>
            </w:r>
          </w:p>
        </w:tc>
      </w:tr>
      <w:tr w:rsidR="00220D7D" w:rsidRPr="00D008C8" w:rsidTr="00D42433">
        <w:trPr>
          <w:cantSplit/>
          <w:trHeight w:val="285"/>
        </w:trPr>
        <w:tc>
          <w:tcPr>
            <w:tcW w:w="221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Unidos Podemos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3,6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32,2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44,3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11,5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8,4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  <w:tr w:rsidR="00220D7D" w:rsidRPr="00D008C8" w:rsidTr="00D42433">
        <w:trPr>
          <w:cantSplit/>
          <w:trHeight w:val="300"/>
        </w:trPr>
        <w:tc>
          <w:tcPr>
            <w:tcW w:w="221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Ciudadanos</w:t>
            </w:r>
          </w:p>
        </w:tc>
        <w:tc>
          <w:tcPr>
            <w:tcW w:w="518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3,1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43,9</w:t>
            </w:r>
          </w:p>
        </w:tc>
        <w:tc>
          <w:tcPr>
            <w:tcW w:w="624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38,9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10,9</w:t>
            </w:r>
          </w:p>
        </w:tc>
        <w:tc>
          <w:tcPr>
            <w:tcW w:w="558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vAlign w:val="center"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3,1</w:t>
            </w:r>
          </w:p>
        </w:tc>
        <w:tc>
          <w:tcPr>
            <w:tcW w:w="426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220D7D" w:rsidRPr="00F3010A" w:rsidRDefault="00220D7D" w:rsidP="00220D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</w:tbl>
    <w:p w:rsidR="00E20C4D" w:rsidRDefault="00E20C4D" w:rsidP="00E20C4D">
      <w:pPr>
        <w:pStyle w:val="Adentrado-1"/>
        <w:spacing w:before="120" w:after="120"/>
      </w:pPr>
      <w:r>
        <w:t xml:space="preserve">Por otra parte, hay que señalar que el porcentaje de quienes declaran que en sus hogares pueden ahorrar al menos algo es superior entre los hombres (42,0%) que entre las mujeres (32,2%); que es también superior entre los más jóvenes (51,8%) y desciende a medida que se incrementa la edad, hasta situarse en el 27,7% entre los mayores </w:t>
      </w:r>
      <w:r>
        <w:lastRenderedPageBreak/>
        <w:t>de 65 años; que mientras entre los de quienes tienen estudios primarios o inferiores se queda en el 22,1% entre los de estudios universitarios llega al 55,7% y, atendiendo a la orientación política de los informantes, mientras entre los votantes del PSOE representan el 29,6%, entre los de los demás partidos es apreciablemente superior, hasta situarse en el 47,0% entre los de Ciudadanos.</w:t>
      </w:r>
    </w:p>
    <w:p w:rsidR="00E20C4D" w:rsidRDefault="00E20C4D" w:rsidP="00E20C4D">
      <w:pPr>
        <w:pStyle w:val="Adentrado-1"/>
        <w:spacing w:before="120" w:after="120"/>
      </w:pPr>
      <w:r>
        <w:t>Por su parte, la proporción de quienes declaran tener en sus hogares los ingresos justos para llegar a final de mes es superior entre las mu</w:t>
      </w:r>
      <w:r w:rsidR="00730993">
        <w:t>j</w:t>
      </w:r>
      <w:r>
        <w:t>eres (49,4%) que entre los hombres</w:t>
      </w:r>
      <w:r w:rsidR="00730993">
        <w:t xml:space="preserve"> (42,3%)</w:t>
      </w:r>
      <w:r>
        <w:t xml:space="preserve"> y se incrementa con la edad, (pasando del 36,4% entre los más jóvenes al 56,2% entre los mayores de 65 años) y según desciende el nivel de estudios, pues se sitúa en el 29,1% entre los que tienen estudios universitarios y sube hasta el 56,0% entre los que tienen estudios primarios o inferiores. </w:t>
      </w:r>
    </w:p>
    <w:p w:rsidR="00220D7D" w:rsidRDefault="00220D7D" w:rsidP="00220D7D">
      <w:pPr>
        <w:pStyle w:val="Adentrado-1"/>
        <w:spacing w:before="120" w:after="120"/>
      </w:pPr>
      <w:r>
        <w:t>Los datos registrados a propósito de quienes declaran que los ingresos de sus hogares no les son suficientes y deben utilizar ahorros o endeudarse varían de forma similar a la que se acaba de indicar a propósito de los que señalan disponer de los ingresos justos en sus hogares.</w:t>
      </w:r>
    </w:p>
    <w:p w:rsidR="00A61595" w:rsidRPr="00994CA1" w:rsidRDefault="00220D7D" w:rsidP="00A61595">
      <w:pPr>
        <w:spacing w:before="120" w:after="120"/>
        <w:jc w:val="both"/>
        <w:rPr>
          <w:rFonts w:ascii="Tahoma" w:hAnsi="Tahoma"/>
          <w:b/>
          <w:color w:val="808080"/>
          <w:sz w:val="22"/>
          <w:szCs w:val="22"/>
          <w:highlight w:val="yellow"/>
        </w:rPr>
      </w:pPr>
      <w:r>
        <w:rPr>
          <w:rFonts w:ascii="Tahoma" w:hAnsi="Tahoma"/>
          <w:b/>
          <w:color w:val="808080"/>
          <w:sz w:val="22"/>
          <w:szCs w:val="22"/>
        </w:rPr>
        <w:t>La encuesta de Simple Lógica también pone de manifiesto que u</w:t>
      </w:r>
      <w:r w:rsidR="00A61595">
        <w:rPr>
          <w:rFonts w:ascii="Tahoma" w:hAnsi="Tahoma"/>
          <w:b/>
          <w:color w:val="808080"/>
          <w:sz w:val="22"/>
          <w:szCs w:val="22"/>
        </w:rPr>
        <w:t>na clara mayoría de los ciudadanos consideran al finalizar 2017 que el momento es malo o muy malo para ahorrar</w:t>
      </w:r>
      <w:r>
        <w:rPr>
          <w:rFonts w:ascii="Tahoma" w:hAnsi="Tahoma"/>
          <w:b/>
          <w:color w:val="808080"/>
          <w:sz w:val="22"/>
          <w:szCs w:val="22"/>
        </w:rPr>
        <w:t>.</w:t>
      </w:r>
    </w:p>
    <w:p w:rsidR="00E930B1" w:rsidRPr="003A4973" w:rsidRDefault="0081143A" w:rsidP="00E930B1">
      <w:pPr>
        <w:pStyle w:val="Adentrado-1"/>
        <w:spacing w:before="120" w:after="120"/>
      </w:pPr>
      <w:r>
        <w:t>Suponen algo menos de seis de cada diez</w:t>
      </w:r>
      <w:r w:rsidR="003A4973" w:rsidRPr="003A4973">
        <w:t xml:space="preserve"> ciudadanos (</w:t>
      </w:r>
      <w:r>
        <w:t xml:space="preserve">58,6%) que, teniendo en cuenta la situación económica general, al finalizar el año consideraban el momento malo o muy malo para ahorrar, mientras que no llegaban a representar cuatro de cada diez (39,3%) los que consideraban que era </w:t>
      </w:r>
      <w:r w:rsidR="002D7822">
        <w:t>bueno o muy bueno</w:t>
      </w:r>
      <w:r>
        <w:t xml:space="preserve"> para tal fin</w:t>
      </w:r>
      <w:r w:rsidR="00F706BE" w:rsidRPr="003A4973">
        <w:t>.</w:t>
      </w:r>
    </w:p>
    <w:p w:rsidR="00E930B1" w:rsidRPr="00677D4A" w:rsidRDefault="00F3010A" w:rsidP="00881A23">
      <w:pPr>
        <w:pStyle w:val="Adentrado-1"/>
        <w:spacing w:before="240" w:after="240"/>
        <w:ind w:left="-709" w:right="-567" w:firstLine="0"/>
        <w:jc w:val="left"/>
      </w:pPr>
      <w:r w:rsidRPr="00F3010A">
        <w:rPr>
          <w:noProof/>
        </w:rPr>
        <w:drawing>
          <wp:inline distT="0" distB="0" distL="0" distR="0">
            <wp:extent cx="3468441" cy="2612899"/>
            <wp:effectExtent l="19050" t="0" r="0" b="0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41" cy="261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BE" w:rsidRDefault="00F163C2" w:rsidP="0081143A">
      <w:pPr>
        <w:pStyle w:val="Adentrado-1"/>
        <w:spacing w:before="120" w:after="120"/>
      </w:pPr>
      <w:r>
        <w:lastRenderedPageBreak/>
        <w:t xml:space="preserve">Son claras las diferencias de opinión en este punto atendiendo al nivel de ingresos de los hogares y también al </w:t>
      </w:r>
      <w:r w:rsidR="0081143A">
        <w:t>sexo, la edad, el nivel de estudios y la orientación política de los informantes.</w:t>
      </w:r>
    </w:p>
    <w:p w:rsidR="00F163C2" w:rsidRDefault="0081143A" w:rsidP="00CC040C">
      <w:pPr>
        <w:pStyle w:val="Adentrado-1"/>
        <w:spacing w:before="100" w:after="100" w:line="228" w:lineRule="auto"/>
      </w:pPr>
      <w:r>
        <w:t xml:space="preserve">Efectivamente, </w:t>
      </w:r>
      <w:r w:rsidR="00F163C2">
        <w:t>mientras entre los que declaran tener unos ingresos en el hogar de 1.000 euros o inferiores e</w:t>
      </w:r>
      <w:r w:rsidR="00852B07">
        <w:t>s</w:t>
      </w:r>
      <w:r w:rsidR="00F163C2">
        <w:t xml:space="preserve"> claramente mayoritario el porcentaje de quienes consideran el momento malo o muy malo para ahorrar (68,9%), entre los que manifiestan tener unos ingresos en sus hogares superiores a los 2.500 euros ese porcentaje es 25 puntos inferior (43,9%).</w:t>
      </w:r>
    </w:p>
    <w:tbl>
      <w:tblPr>
        <w:tblW w:w="4895" w:type="dxa"/>
        <w:tblCellMar>
          <w:left w:w="70" w:type="dxa"/>
          <w:right w:w="70" w:type="dxa"/>
        </w:tblCellMar>
        <w:tblLook w:val="04A0"/>
      </w:tblPr>
      <w:tblGrid>
        <w:gridCol w:w="2342"/>
        <w:gridCol w:w="851"/>
        <w:gridCol w:w="851"/>
        <w:gridCol w:w="851"/>
      </w:tblGrid>
      <w:tr w:rsidR="00D008C8" w:rsidRPr="00CC3F05" w:rsidTr="009A7121">
        <w:trPr>
          <w:cantSplit/>
        </w:trPr>
        <w:tc>
          <w:tcPr>
            <w:tcW w:w="4895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D008C8" w:rsidRPr="00CC3F05" w:rsidRDefault="00CC3F05" w:rsidP="00C31B0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val="es-ES_tradnl" w:eastAsia="es-ES_tradnl"/>
              </w:rPr>
              <w:t>Teniendo en cuenta la situación económica general, ¿considera usted que ahora es un momento…?</w:t>
            </w:r>
          </w:p>
        </w:tc>
      </w:tr>
      <w:tr w:rsidR="009A7121" w:rsidRPr="00CC3F05" w:rsidTr="009A7121">
        <w:trPr>
          <w:cantSplit/>
          <w:trHeight w:val="1260"/>
        </w:trPr>
        <w:tc>
          <w:tcPr>
            <w:tcW w:w="2342" w:type="dxa"/>
            <w:tcBorders>
              <w:top w:val="nil"/>
              <w:left w:val="single" w:sz="8" w:space="0" w:color="FFFFFF"/>
              <w:bottom w:val="single" w:sz="8" w:space="0" w:color="FF6141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9A7121" w:rsidRPr="00CC3F05" w:rsidRDefault="009A7121" w:rsidP="00994C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FFFFFF"/>
            </w:tcBorders>
            <w:shd w:val="clear" w:color="auto" w:fill="1DBD5E"/>
            <w:textDirection w:val="btLr"/>
            <w:vAlign w:val="center"/>
            <w:hideMark/>
          </w:tcPr>
          <w:p w:rsidR="009A7121" w:rsidRPr="00CC3F05" w:rsidRDefault="009A7121" w:rsidP="009A7121">
            <w:pPr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Muy bueno-Bueno para ahorrar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FFFFFF"/>
            </w:tcBorders>
            <w:shd w:val="clear" w:color="auto" w:fill="1DBD5E"/>
            <w:textDirection w:val="btLr"/>
            <w:vAlign w:val="center"/>
            <w:hideMark/>
          </w:tcPr>
          <w:p w:rsidR="009A7121" w:rsidRPr="00CC3F05" w:rsidRDefault="009A7121" w:rsidP="009A7121">
            <w:pPr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Malo-Muy malo para ahorrar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1DBD5E"/>
            </w:tcBorders>
            <w:shd w:val="clear" w:color="auto" w:fill="1DBD5E"/>
            <w:textDirection w:val="btLr"/>
            <w:vAlign w:val="center"/>
            <w:hideMark/>
          </w:tcPr>
          <w:p w:rsidR="009A7121" w:rsidRPr="00CC3F05" w:rsidRDefault="009A7121" w:rsidP="009A7121">
            <w:pPr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No sabe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single" w:sz="8" w:space="0" w:color="FF6141"/>
              <w:left w:val="single" w:sz="8" w:space="0" w:color="FF6141"/>
              <w:right w:val="single" w:sz="8" w:space="0" w:color="FFFFFF" w:themeColor="background1"/>
            </w:tcBorders>
            <w:shd w:val="clear" w:color="auto" w:fill="FF6141"/>
            <w:vAlign w:val="center"/>
            <w:hideMark/>
          </w:tcPr>
          <w:p w:rsidR="009A7121" w:rsidRPr="00CC3F05" w:rsidRDefault="009A7121" w:rsidP="00CC3F05">
            <w:pPr>
              <w:spacing w:before="40" w:after="40"/>
              <w:ind w:right="57" w:firstLineChars="200" w:firstLine="361"/>
              <w:jc w:val="right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TOTAL</w:t>
            </w:r>
          </w:p>
        </w:tc>
        <w:tc>
          <w:tcPr>
            <w:tcW w:w="851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6141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39,3</w:t>
            </w:r>
          </w:p>
        </w:tc>
        <w:tc>
          <w:tcPr>
            <w:tcW w:w="851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6141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6141"/>
            </w:tcBorders>
            <w:shd w:val="clear" w:color="auto" w:fill="FF6141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2,1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sexo:</w:t>
            </w:r>
          </w:p>
        </w:tc>
        <w:tc>
          <w:tcPr>
            <w:tcW w:w="851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Hombre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46,1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2,3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Mujer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2,0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edad: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9A7121" w:rsidRPr="00CC3F05" w:rsidRDefault="009A7121" w:rsidP="00CC3F05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9A7121" w:rsidRPr="00CC3F05" w:rsidRDefault="009A7121" w:rsidP="00CC3F05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9A7121" w:rsidRPr="00CC3F05" w:rsidRDefault="009A7121" w:rsidP="00CC3F05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2C34C6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16 a 24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66,1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32,9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1,0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25 a 34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1,7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35 a 44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2,5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45 a 54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63,5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2,2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55 a 64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26,6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71,6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1,8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65 y más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68,4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2,9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estudios: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9A7121" w:rsidRPr="00CC3F05" w:rsidRDefault="009A7121" w:rsidP="00CC3F05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9A7121" w:rsidRPr="00CC3F05" w:rsidRDefault="009A7121" w:rsidP="00CC3F05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9A7121" w:rsidRPr="00CC3F05" w:rsidRDefault="009A7121" w:rsidP="00CC3F05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Primarios/Obligatorios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30,7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67,6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1,6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Secundarios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2,4</w:t>
            </w:r>
          </w:p>
        </w:tc>
      </w:tr>
      <w:tr w:rsidR="009A7121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Universitarios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44,9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9A7121" w:rsidRPr="00CC3F05" w:rsidRDefault="009A7121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2,6</w:t>
            </w:r>
          </w:p>
        </w:tc>
      </w:tr>
      <w:tr w:rsidR="00EA4523" w:rsidRPr="00CC3F05" w:rsidTr="00EA4523">
        <w:trPr>
          <w:cantSplit/>
          <w:trHeight w:val="450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A4523" w:rsidRPr="00F3010A" w:rsidRDefault="00EA4523" w:rsidP="00EA4523">
            <w:pPr>
              <w:spacing w:before="40" w:after="40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 xml:space="preserve">Según 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ingresos mensuales del hogar</w:t>
            </w: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A4523" w:rsidRPr="00CC3F05" w:rsidRDefault="00EA4523" w:rsidP="00EA4523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A4523" w:rsidRPr="00CC3F05" w:rsidRDefault="00EA4523" w:rsidP="00EA4523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EA4523" w:rsidRPr="00CC3F05" w:rsidRDefault="00EA4523" w:rsidP="00EA4523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  <w:tr w:rsidR="00EA4523" w:rsidRPr="00CC3F05" w:rsidTr="00EA4523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70429" w:rsidRDefault="00EA4523" w:rsidP="00EA4523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Hasta 1.000 €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68,9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1,2</w:t>
            </w:r>
          </w:p>
        </w:tc>
      </w:tr>
      <w:tr w:rsidR="00EA4523" w:rsidRPr="00CC3F05" w:rsidTr="00EA4523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70429" w:rsidRDefault="00EA4523" w:rsidP="00EA4523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1.001 a 1.500 €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34,6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63,5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1,9</w:t>
            </w:r>
          </w:p>
        </w:tc>
      </w:tr>
      <w:tr w:rsidR="00EA4523" w:rsidRPr="00CC3F05" w:rsidTr="00EA4523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70429" w:rsidRDefault="00EA4523" w:rsidP="00EA4523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1.501 a 2.500€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40,7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57,2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2,1</w:t>
            </w:r>
          </w:p>
        </w:tc>
      </w:tr>
      <w:tr w:rsidR="00EA4523" w:rsidRPr="00CC3F05" w:rsidTr="00EA4523">
        <w:trPr>
          <w:cantSplit/>
          <w:trHeight w:val="300"/>
        </w:trPr>
        <w:tc>
          <w:tcPr>
            <w:tcW w:w="2342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70429" w:rsidRDefault="00EA4523" w:rsidP="00EA4523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Más de 2.500€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3,4</w:t>
            </w:r>
          </w:p>
        </w:tc>
      </w:tr>
      <w:tr w:rsidR="00EA4523" w:rsidRPr="00CC3F05" w:rsidTr="009A7121">
        <w:trPr>
          <w:cantSplit/>
          <w:trHeight w:val="450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A4523" w:rsidRPr="00CC3F05" w:rsidRDefault="00EA4523" w:rsidP="007A0158">
            <w:pPr>
              <w:spacing w:before="40" w:after="40"/>
              <w:ind w:right="57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partido votado Elecc. Generales 2016: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A4523" w:rsidRPr="00CC3F05" w:rsidRDefault="00EA4523" w:rsidP="00CC3F05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A4523" w:rsidRPr="00CC3F05" w:rsidRDefault="00EA4523" w:rsidP="00CC3F05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EA4523" w:rsidRPr="00CC3F05" w:rsidRDefault="00EA4523" w:rsidP="00CC3F05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  <w:tr w:rsidR="00EA4523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PP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43,0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1,5</w:t>
            </w:r>
          </w:p>
        </w:tc>
      </w:tr>
      <w:tr w:rsidR="00EA4523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PSOE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63,6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1,2</w:t>
            </w:r>
          </w:p>
        </w:tc>
      </w:tr>
      <w:tr w:rsidR="00EA4523" w:rsidRPr="00CC3F05" w:rsidTr="009A7121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Unidos Podemos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33,1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66,9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0,0</w:t>
            </w:r>
          </w:p>
        </w:tc>
      </w:tr>
      <w:tr w:rsidR="00EA4523" w:rsidRPr="00CC3F05" w:rsidTr="009A7121">
        <w:trPr>
          <w:cantSplit/>
          <w:trHeight w:val="300"/>
        </w:trPr>
        <w:tc>
          <w:tcPr>
            <w:tcW w:w="2342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7A0158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Ciudadanos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56,1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EA4523" w:rsidRPr="00CC3F05" w:rsidRDefault="00EA4523" w:rsidP="009A7121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0,8</w:t>
            </w:r>
          </w:p>
        </w:tc>
      </w:tr>
    </w:tbl>
    <w:p w:rsidR="00994CA1" w:rsidRDefault="00994CA1" w:rsidP="00C31B0A">
      <w:pPr>
        <w:pStyle w:val="Adentrado-1"/>
        <w:spacing w:before="0" w:after="0"/>
        <w:ind w:firstLine="0"/>
      </w:pPr>
    </w:p>
    <w:p w:rsidR="00F163C2" w:rsidRDefault="00F163C2" w:rsidP="00F163C2">
      <w:pPr>
        <w:pStyle w:val="Adentrado-1"/>
        <w:spacing w:before="100" w:after="100" w:line="228" w:lineRule="auto"/>
      </w:pPr>
      <w:r>
        <w:lastRenderedPageBreak/>
        <w:t>Por otra parte, la percepción de la idoneidad del momento para ahorrar es apreciablemente más pesimista entre las mujeres que entre los hombres. El porcentaje de ellas que consideran malo o muy malo el momento para ahorrar (65,3%) es casi catorce puntos superior al que se registra entre ellos (51,6%).</w:t>
      </w:r>
    </w:p>
    <w:p w:rsidR="00F163C2" w:rsidRDefault="00F163C2" w:rsidP="00F163C2">
      <w:pPr>
        <w:pStyle w:val="Adentrado-1"/>
        <w:spacing w:before="100" w:after="100" w:line="228" w:lineRule="auto"/>
      </w:pPr>
      <w:r>
        <w:t xml:space="preserve">El pesimismo en cuanto a la percepción de la idoneidad del momento para ahorrar también aparece claramente asociado a la edad de los informantes. Así, mientras entre los más jóvenes apenas representan uno de cada tres (32,9%) los que opinan que el momento es malo para </w:t>
      </w:r>
      <w:r w:rsidR="00077A3A">
        <w:t>a</w:t>
      </w:r>
      <w:r>
        <w:t>horrar, a medida que se incrementa la edad esa proporción también sube y se sitúa en el entorno de siete de cada diez la de los que sostienen la misma opinión entre los mayores de 55 años (</w:t>
      </w:r>
      <w:r>
        <w:rPr>
          <w:rFonts w:cs="Tahoma"/>
        </w:rPr>
        <w:t>≥</w:t>
      </w:r>
      <w:r>
        <w:t>68,4%).</w:t>
      </w:r>
    </w:p>
    <w:p w:rsidR="00320784" w:rsidRDefault="009E1685" w:rsidP="00E930B1">
      <w:pPr>
        <w:pStyle w:val="Adentrado-1"/>
        <w:spacing w:before="120" w:after="120"/>
      </w:pPr>
      <w:r>
        <w:t>También son relevantes las diferencias que se observan en función del nivel de estudios de los informantes, de forma que mientras entre los que tienen estudios primarios o inferiores representan más de dos de cada tres (67,6%) los que consideran</w:t>
      </w:r>
      <w:r w:rsidR="00077A3A">
        <w:t xml:space="preserve"> el momento</w:t>
      </w:r>
      <w:r>
        <w:t xml:space="preserve"> malo o muy malo para ahorrar, entre los que tienen estudios universitarios ese porcentaje es quince puntos inferior (52,5%).</w:t>
      </w:r>
    </w:p>
    <w:p w:rsidR="00CC3F05" w:rsidRDefault="009E1685" w:rsidP="00714A5B">
      <w:pPr>
        <w:pStyle w:val="Adentrado-1"/>
        <w:spacing w:before="120" w:after="120"/>
        <w:rPr>
          <w:b/>
          <w:color w:val="808080"/>
          <w:sz w:val="22"/>
          <w:szCs w:val="22"/>
        </w:rPr>
      </w:pPr>
      <w:r>
        <w:t xml:space="preserve">Atendiendo a la orientación política de los entrevistados también se observan algunas diferencias relevantes entre los </w:t>
      </w:r>
      <w:r w:rsidR="00714A5B">
        <w:t>votantes de los partidos de centro-derecha y los de centro-izquierda. Es entre ocho y diez puntos superior el porcentaje de quienes consideran malo o muy malo el momento para ahorrar entre los votantes del PSOE (63,6%) y UP (66,9%) con respecto al que se registra entre los del PP (55,5%) y Ciudadanos (56,1%).</w:t>
      </w:r>
    </w:p>
    <w:p w:rsidR="001348E4" w:rsidRPr="00994CA1" w:rsidRDefault="00714A5B" w:rsidP="001348E4">
      <w:pPr>
        <w:spacing w:before="120" w:after="120"/>
        <w:jc w:val="both"/>
        <w:rPr>
          <w:rFonts w:ascii="Tahoma" w:hAnsi="Tahoma"/>
          <w:b/>
          <w:color w:val="808080"/>
          <w:sz w:val="22"/>
          <w:szCs w:val="22"/>
          <w:highlight w:val="yellow"/>
        </w:rPr>
      </w:pPr>
      <w:r>
        <w:rPr>
          <w:rFonts w:ascii="Tahoma" w:hAnsi="Tahoma"/>
          <w:b/>
          <w:color w:val="808080"/>
          <w:sz w:val="22"/>
          <w:szCs w:val="22"/>
        </w:rPr>
        <w:t xml:space="preserve">También representan más de la mitad de los ciudadanos los que consideran que probablemente no puedan ahorrar en el nuevo año o que no tendrán ninguna probabilidad de hacerlo, </w:t>
      </w:r>
      <w:r w:rsidRPr="003A4973">
        <w:rPr>
          <w:rFonts w:ascii="Tahoma" w:hAnsi="Tahoma"/>
          <w:b/>
          <w:color w:val="808080"/>
          <w:sz w:val="22"/>
          <w:szCs w:val="22"/>
        </w:rPr>
        <w:t xml:space="preserve">según se desprende de los resultados de la </w:t>
      </w:r>
      <w:r>
        <w:rPr>
          <w:rFonts w:ascii="Tahoma" w:hAnsi="Tahoma"/>
          <w:b/>
          <w:color w:val="808080"/>
          <w:sz w:val="22"/>
          <w:szCs w:val="22"/>
        </w:rPr>
        <w:t xml:space="preserve">misma </w:t>
      </w:r>
      <w:r w:rsidRPr="003A4973">
        <w:rPr>
          <w:rFonts w:ascii="Tahoma" w:hAnsi="Tahoma"/>
          <w:b/>
          <w:color w:val="808080"/>
          <w:sz w:val="22"/>
          <w:szCs w:val="22"/>
        </w:rPr>
        <w:t>encuesta de</w:t>
      </w:r>
      <w:r>
        <w:rPr>
          <w:rFonts w:ascii="Tahoma" w:hAnsi="Tahoma"/>
          <w:b/>
          <w:color w:val="808080"/>
          <w:sz w:val="22"/>
          <w:szCs w:val="22"/>
        </w:rPr>
        <w:t xml:space="preserve"> los Índices de Opinión Pública</w:t>
      </w:r>
      <w:r w:rsidRPr="003A4973">
        <w:rPr>
          <w:rFonts w:ascii="Tahoma" w:hAnsi="Tahoma"/>
          <w:b/>
          <w:color w:val="808080"/>
          <w:sz w:val="22"/>
          <w:szCs w:val="22"/>
        </w:rPr>
        <w:t xml:space="preserve"> </w:t>
      </w:r>
      <w:r>
        <w:rPr>
          <w:rFonts w:ascii="Tahoma" w:hAnsi="Tahoma"/>
          <w:b/>
          <w:color w:val="808080"/>
          <w:sz w:val="22"/>
          <w:szCs w:val="22"/>
        </w:rPr>
        <w:t>(</w:t>
      </w:r>
      <w:r w:rsidRPr="003A4973">
        <w:rPr>
          <w:rFonts w:ascii="Tahoma" w:hAnsi="Tahoma"/>
          <w:b/>
          <w:color w:val="808080"/>
          <w:sz w:val="22"/>
          <w:szCs w:val="22"/>
        </w:rPr>
        <w:t>IOP</w:t>
      </w:r>
      <w:r>
        <w:rPr>
          <w:rFonts w:ascii="Tahoma" w:hAnsi="Tahoma"/>
          <w:b/>
          <w:color w:val="808080"/>
          <w:sz w:val="22"/>
          <w:szCs w:val="22"/>
        </w:rPr>
        <w:t>)</w:t>
      </w:r>
      <w:r w:rsidRPr="003A4973">
        <w:rPr>
          <w:rFonts w:ascii="Tahoma" w:hAnsi="Tahoma"/>
          <w:b/>
          <w:color w:val="808080"/>
          <w:sz w:val="22"/>
          <w:szCs w:val="22"/>
        </w:rPr>
        <w:t xml:space="preserve"> de Simple Lógica</w:t>
      </w:r>
      <w:r>
        <w:rPr>
          <w:rFonts w:ascii="Tahoma" w:hAnsi="Tahoma"/>
          <w:b/>
          <w:color w:val="808080"/>
          <w:sz w:val="22"/>
          <w:szCs w:val="22"/>
        </w:rPr>
        <w:t>.</w:t>
      </w:r>
    </w:p>
    <w:p w:rsidR="00C31B0A" w:rsidRDefault="0024062D" w:rsidP="001348E4">
      <w:pPr>
        <w:pStyle w:val="Adentrado-1"/>
        <w:spacing w:before="120" w:after="120"/>
      </w:pPr>
      <w:r>
        <w:t xml:space="preserve">Representan </w:t>
      </w:r>
      <w:r w:rsidR="00714A5B">
        <w:t xml:space="preserve">algo más de la mitad </w:t>
      </w:r>
      <w:r>
        <w:t>de los ciudadanos (</w:t>
      </w:r>
      <w:r w:rsidR="00714A5B">
        <w:t>55,4%</w:t>
      </w:r>
      <w:r>
        <w:t xml:space="preserve">) los que </w:t>
      </w:r>
      <w:r w:rsidR="00714A5B">
        <w:t>manifiestan que durante los próximos doce meses probablemente no ahorrarán o que no hay ninguna probabilidad de que lo hagan, mientras que el 43,6%</w:t>
      </w:r>
      <w:r w:rsidR="008E7563">
        <w:t xml:space="preserve"> opinan que probablemente o muy probablemente sí ahorrarán algún dinero.</w:t>
      </w:r>
    </w:p>
    <w:p w:rsidR="00677D4A" w:rsidRPr="00677D4A" w:rsidRDefault="00751F2E" w:rsidP="00F163C2">
      <w:pPr>
        <w:pStyle w:val="Adentrado-1"/>
        <w:spacing w:before="240" w:after="240"/>
        <w:ind w:left="-142" w:right="-567" w:firstLine="0"/>
        <w:jc w:val="left"/>
      </w:pPr>
      <w:r w:rsidRPr="00751F2E">
        <w:rPr>
          <w:noProof/>
        </w:rPr>
        <w:lastRenderedPageBreak/>
        <w:drawing>
          <wp:inline distT="0" distB="0" distL="0" distR="0">
            <wp:extent cx="3468441" cy="2612899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41" cy="261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7AE" w:rsidRDefault="008E7563" w:rsidP="00E61600">
      <w:pPr>
        <w:pStyle w:val="Adentrado-1"/>
        <w:spacing w:before="120" w:after="120"/>
      </w:pPr>
      <w:r>
        <w:t>Las diferencias de opinión en este punto se producen con unas tendencias muy similares a las que se registraban en el punto anterior a propósito de la consideración de la idoneidad del momento para ahorrar.</w:t>
      </w:r>
    </w:p>
    <w:p w:rsidR="00F163C2" w:rsidRDefault="008E7563" w:rsidP="00E61600">
      <w:pPr>
        <w:pStyle w:val="Adentrado-1"/>
        <w:spacing w:before="120" w:after="120"/>
      </w:pPr>
      <w:r>
        <w:t xml:space="preserve">Atendiendo </w:t>
      </w:r>
      <w:r w:rsidR="00F163C2">
        <w:t>al nivel de ingresos declarados del hogar, se observa que mientras entre los que dicen tener unos ingresos de hasta 1.000 euros representan un 26,</w:t>
      </w:r>
      <w:r w:rsidR="00077A3A">
        <w:t>3</w:t>
      </w:r>
      <w:r w:rsidR="00F163C2">
        <w:t>% los que creen que es probable o muy probable que puedan ahorrar en el nuevo año</w:t>
      </w:r>
      <w:r w:rsidR="00B17B90">
        <w:t xml:space="preserve"> y un 72,3% los que indican que probablemente o con seguridad no podrán hacerlo, entre los que declaran unos ingreso del hogar superiores a los 2.500 euros esos porcentajes casi se invierten y son respectivamente del 71,5% y del 28,2%.</w:t>
      </w:r>
    </w:p>
    <w:p w:rsidR="00CC3F05" w:rsidRDefault="00B17B90" w:rsidP="00E61600">
      <w:pPr>
        <w:pStyle w:val="Adentrado-1"/>
        <w:spacing w:before="120" w:after="120"/>
      </w:pPr>
      <w:r>
        <w:t>Analizando los resultados en función del</w:t>
      </w:r>
      <w:r w:rsidR="008E7563">
        <w:t xml:space="preserve"> sexo de los informantes, se observa que mientras entre los hombres representan prácticamente la mitad (49,7%) los que manifiestan que en los próximos doce meses probablem</w:t>
      </w:r>
      <w:r w:rsidR="004A72D9">
        <w:t>ente no puedan ah</w:t>
      </w:r>
      <w:r w:rsidR="008E7563">
        <w:t>orrar o que no tienen ninguna proba</w:t>
      </w:r>
      <w:r w:rsidR="004A72D9">
        <w:t>bi</w:t>
      </w:r>
      <w:r w:rsidR="008E7563">
        <w:t>lidad de hacerlo</w:t>
      </w:r>
      <w:r w:rsidR="004A72D9">
        <w:t>, entre las mujeres ese porcentaje es once puntos superior y se sitúa en el 60,7%.</w:t>
      </w:r>
    </w:p>
    <w:p w:rsidR="00CC3F05" w:rsidRDefault="004A72D9" w:rsidP="00E61600">
      <w:pPr>
        <w:pStyle w:val="Adentrado-1"/>
        <w:spacing w:before="120" w:after="120"/>
      </w:pPr>
      <w:r>
        <w:t>También es clara la diferencia d</w:t>
      </w:r>
      <w:r w:rsidR="00AC7700">
        <w:t>e opinión atendiendo a la edad, incrementándose la probabilidad de no ahorrar a medida que lo hacen los años de los informantes. Mientras entre los más jóvenes suponen algo más de uno de cada tres (36,0%) los que manifiestan que probablemente no podrán ahorrar en los próximos doce meses o que no existe ninguna probab</w:t>
      </w:r>
      <w:r w:rsidR="00515243">
        <w:t>ilidad de que lo hagan, ese por</w:t>
      </w:r>
      <w:r w:rsidR="00AC7700">
        <w:t>centaje se incrementa a medida que se eleva la edad de los entrevistados, hasta situarse en el</w:t>
      </w:r>
      <w:r w:rsidR="00515243">
        <w:t xml:space="preserve"> </w:t>
      </w:r>
      <w:r w:rsidR="00AC7700">
        <w:t>68,</w:t>
      </w:r>
      <w:r w:rsidR="00515243">
        <w:t>7% entre los mayores de 65 años.</w:t>
      </w:r>
    </w:p>
    <w:tbl>
      <w:tblPr>
        <w:tblW w:w="4895" w:type="dxa"/>
        <w:tblCellMar>
          <w:left w:w="70" w:type="dxa"/>
          <w:right w:w="70" w:type="dxa"/>
        </w:tblCellMar>
        <w:tblLook w:val="04A0"/>
      </w:tblPr>
      <w:tblGrid>
        <w:gridCol w:w="2342"/>
        <w:gridCol w:w="851"/>
        <w:gridCol w:w="851"/>
        <w:gridCol w:w="851"/>
      </w:tblGrid>
      <w:tr w:rsidR="00CC3F05" w:rsidRPr="00CC3F05" w:rsidTr="00CC3F05">
        <w:trPr>
          <w:cantSplit/>
        </w:trPr>
        <w:tc>
          <w:tcPr>
            <w:tcW w:w="4895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CC3F05" w:rsidRPr="00CC3F05" w:rsidRDefault="00CC3F05" w:rsidP="00CC3F0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val="es-ES_tradnl" w:eastAsia="es-ES_tradnl"/>
              </w:rPr>
              <w:lastRenderedPageBreak/>
              <w:t>¿Qué probabilidad hay de que usted ahorre algún dinero durante los próximos 12 meses?</w:t>
            </w:r>
          </w:p>
        </w:tc>
      </w:tr>
      <w:tr w:rsidR="00CC3F05" w:rsidRPr="00CC3F05" w:rsidTr="00311B45">
        <w:trPr>
          <w:cantSplit/>
          <w:trHeight w:val="1701"/>
        </w:trPr>
        <w:tc>
          <w:tcPr>
            <w:tcW w:w="2342" w:type="dxa"/>
            <w:tcBorders>
              <w:top w:val="nil"/>
              <w:left w:val="single" w:sz="8" w:space="0" w:color="FFFFFF"/>
              <w:bottom w:val="single" w:sz="8" w:space="0" w:color="FF6141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CC3F05" w:rsidRPr="00CC3F05" w:rsidRDefault="00CC3F05" w:rsidP="00CC3F0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FFFFFF"/>
            </w:tcBorders>
            <w:shd w:val="clear" w:color="auto" w:fill="1DBD5E"/>
            <w:textDirection w:val="btLr"/>
            <w:vAlign w:val="center"/>
            <w:hideMark/>
          </w:tcPr>
          <w:p w:rsidR="00CC3F05" w:rsidRPr="00311B45" w:rsidRDefault="00CC3F05" w:rsidP="00311B45">
            <w:pPr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311B45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Muy probablemente-Probablemente sí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FFFFFF"/>
            </w:tcBorders>
            <w:shd w:val="clear" w:color="auto" w:fill="1DBD5E"/>
            <w:textDirection w:val="btLr"/>
            <w:vAlign w:val="center"/>
            <w:hideMark/>
          </w:tcPr>
          <w:p w:rsidR="00CC3F05" w:rsidRPr="00311B45" w:rsidRDefault="00CC3F05" w:rsidP="00311B45">
            <w:pPr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311B45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Probablemente no-Ninguna probabilidad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1DBD5E"/>
            </w:tcBorders>
            <w:shd w:val="clear" w:color="auto" w:fill="1DBD5E"/>
            <w:textDirection w:val="btLr"/>
            <w:vAlign w:val="center"/>
            <w:hideMark/>
          </w:tcPr>
          <w:p w:rsidR="00CC3F05" w:rsidRPr="00311B45" w:rsidRDefault="00CC3F05" w:rsidP="00311B45">
            <w:pPr>
              <w:ind w:left="57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311B45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No sabe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single" w:sz="8" w:space="0" w:color="FF6141"/>
              <w:left w:val="single" w:sz="8" w:space="0" w:color="FF6141"/>
              <w:right w:val="single" w:sz="8" w:space="0" w:color="FFFFFF" w:themeColor="background1"/>
            </w:tcBorders>
            <w:shd w:val="clear" w:color="auto" w:fill="FF6141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 w:firstLineChars="200" w:firstLine="361"/>
              <w:jc w:val="right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TOTAL</w:t>
            </w:r>
          </w:p>
        </w:tc>
        <w:tc>
          <w:tcPr>
            <w:tcW w:w="851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6141"/>
            <w:vAlign w:val="center"/>
            <w:hideMark/>
          </w:tcPr>
          <w:p w:rsidR="00CC3F05" w:rsidRPr="00311B4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11B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6141"/>
            <w:vAlign w:val="center"/>
            <w:hideMark/>
          </w:tcPr>
          <w:p w:rsidR="00CC3F05" w:rsidRPr="00311B4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11B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top w:val="single" w:sz="8" w:space="0" w:color="FF6141"/>
              <w:left w:val="single" w:sz="8" w:space="0" w:color="FFFFFF" w:themeColor="background1"/>
              <w:right w:val="single" w:sz="8" w:space="0" w:color="FF6141"/>
            </w:tcBorders>
            <w:shd w:val="clear" w:color="auto" w:fill="FF6141"/>
            <w:vAlign w:val="center"/>
            <w:hideMark/>
          </w:tcPr>
          <w:p w:rsidR="00CC3F05" w:rsidRPr="00311B4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11B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1,1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sexo:</w:t>
            </w:r>
          </w:p>
        </w:tc>
        <w:tc>
          <w:tcPr>
            <w:tcW w:w="851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Hombre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0,7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Mujer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37,9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60,7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1,4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edad: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16 a 24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63,5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0,5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25 a 34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57,9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41,0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1,1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35 a 44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51,5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0,5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45 a 54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58,4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0,5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55 a 64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32,9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2,1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65 y más años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29,8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68,7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1,6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estudios: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Primarios/Obligatorios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1,5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Secundarios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45,2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53,8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1,0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Universitarios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0,7</w:t>
            </w:r>
          </w:p>
        </w:tc>
      </w:tr>
      <w:tr w:rsidR="00EA4523" w:rsidRPr="00CC3F05" w:rsidTr="00EA4523">
        <w:trPr>
          <w:cantSplit/>
          <w:trHeight w:val="450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A4523" w:rsidRPr="00F3010A" w:rsidRDefault="00EA4523" w:rsidP="00EA4523">
            <w:pPr>
              <w:spacing w:before="40" w:after="40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 xml:space="preserve">Según 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ingresos mensuales del hogar</w:t>
            </w:r>
            <w:r w:rsidRPr="00F3010A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A4523" w:rsidRPr="00CC3F05" w:rsidRDefault="00EA4523" w:rsidP="00EA4523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EA4523" w:rsidRPr="00CC3F05" w:rsidRDefault="00EA4523" w:rsidP="00EA4523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EA4523" w:rsidRPr="00CC3F05" w:rsidRDefault="00EA4523" w:rsidP="00EA4523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  <w:tr w:rsidR="00EA4523" w:rsidRPr="00CC3F05" w:rsidTr="00EA4523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70429" w:rsidRDefault="00EA4523" w:rsidP="00EA4523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Hasta 1.000 €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72,3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1,4</w:t>
            </w:r>
          </w:p>
        </w:tc>
      </w:tr>
      <w:tr w:rsidR="00EA4523" w:rsidRPr="00CC3F05" w:rsidTr="00EA4523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70429" w:rsidRDefault="00EA4523" w:rsidP="00EA4523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1.001 a 1.500 €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0,7</w:t>
            </w:r>
          </w:p>
        </w:tc>
      </w:tr>
      <w:tr w:rsidR="00EA4523" w:rsidRPr="00CC3F05" w:rsidTr="00EA4523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70429" w:rsidRDefault="00EA4523" w:rsidP="00EA4523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De 1.501 a 2.500€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49,4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50,2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0,4</w:t>
            </w:r>
          </w:p>
        </w:tc>
      </w:tr>
      <w:tr w:rsidR="00EA4523" w:rsidRPr="00CC3F05" w:rsidTr="00EA4523">
        <w:trPr>
          <w:cantSplit/>
          <w:trHeight w:val="300"/>
        </w:trPr>
        <w:tc>
          <w:tcPr>
            <w:tcW w:w="2342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70429" w:rsidRDefault="00EA4523" w:rsidP="00EA4523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E7042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Más de 2.500€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71,5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bottom"/>
            <w:hideMark/>
          </w:tcPr>
          <w:p w:rsidR="00EA4523" w:rsidRPr="00EA4523" w:rsidRDefault="00EA4523" w:rsidP="00EA4523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A452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0,3</w:t>
            </w:r>
          </w:p>
        </w:tc>
      </w:tr>
      <w:tr w:rsidR="00CC3F05" w:rsidRPr="00CC3F05" w:rsidTr="00CC3F05">
        <w:trPr>
          <w:cantSplit/>
          <w:trHeight w:val="450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Según partido votado Elecc. Generales 2016: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E3AB"/>
            </w:tcBorders>
            <w:shd w:val="clear" w:color="auto" w:fill="FFE3AB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PP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1,0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PSOE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64,3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  <w:tr w:rsidR="00CC3F05" w:rsidRPr="00CC3F05" w:rsidTr="00CC3F05">
        <w:trPr>
          <w:cantSplit/>
          <w:trHeight w:val="285"/>
        </w:trPr>
        <w:tc>
          <w:tcPr>
            <w:tcW w:w="2342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Unidos Podemos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54,9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nil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0,0</w:t>
            </w:r>
          </w:p>
        </w:tc>
      </w:tr>
      <w:tr w:rsidR="00CC3F05" w:rsidRPr="00CC3F05" w:rsidTr="00CC3F05">
        <w:trPr>
          <w:cantSplit/>
          <w:trHeight w:val="300"/>
        </w:trPr>
        <w:tc>
          <w:tcPr>
            <w:tcW w:w="2342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CC3F05">
            <w:pPr>
              <w:spacing w:before="40" w:after="40"/>
              <w:ind w:right="57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val="es-ES_tradnl" w:eastAsia="es-ES_tradnl"/>
              </w:rPr>
              <w:t>Ciudadanos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47,7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51,4</w:t>
            </w:r>
          </w:p>
        </w:tc>
        <w:tc>
          <w:tcPr>
            <w:tcW w:w="851" w:type="dxa"/>
            <w:tcBorders>
              <w:top w:val="nil"/>
              <w:left w:val="single" w:sz="8" w:space="0" w:color="FFE3AB"/>
              <w:bottom w:val="single" w:sz="8" w:space="0" w:color="FFE3AB"/>
              <w:right w:val="single" w:sz="8" w:space="0" w:color="FFE3AB"/>
            </w:tcBorders>
            <w:shd w:val="clear" w:color="auto" w:fill="auto"/>
            <w:vAlign w:val="center"/>
            <w:hideMark/>
          </w:tcPr>
          <w:p w:rsidR="00CC3F05" w:rsidRPr="00CC3F05" w:rsidRDefault="00CC3F05" w:rsidP="00311B45">
            <w:pPr>
              <w:spacing w:before="40" w:after="40"/>
              <w:ind w:right="170"/>
              <w:jc w:val="righ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CC3F0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0,8</w:t>
            </w:r>
          </w:p>
        </w:tc>
      </w:tr>
    </w:tbl>
    <w:p w:rsidR="00CC3F05" w:rsidRDefault="00CC3F05" w:rsidP="00CC3F05">
      <w:pPr>
        <w:pStyle w:val="Adentrado-1"/>
        <w:spacing w:before="0" w:after="0"/>
        <w:ind w:firstLine="0"/>
      </w:pPr>
    </w:p>
    <w:p w:rsidR="00C31B0A" w:rsidRDefault="00515243" w:rsidP="00E930B1">
      <w:pPr>
        <w:pStyle w:val="Adentrado-1"/>
        <w:spacing w:before="120" w:after="120"/>
      </w:pPr>
      <w:r>
        <w:t>Del mismo modo, se observa que la previsión de la probabilidad de ahorrar se incrementa a medida que desciende el nivel de estudios de los entrevistados, ya que mientras entre los que tienen estudios universitarios suponen un 42,2% los que prevén que probablemente o con seguridad no podrán ahorrar, entre los que tienen estudios primarios o inferiores ese porcentaje es 25 puntos superior (67,5%).</w:t>
      </w:r>
    </w:p>
    <w:p w:rsidR="005024B1" w:rsidRDefault="00515243" w:rsidP="00515243">
      <w:pPr>
        <w:pStyle w:val="Adentrado-1"/>
        <w:spacing w:before="120" w:after="120"/>
      </w:pPr>
      <w:r>
        <w:t xml:space="preserve">Atendiendo al comportamiento electoral de los informantes se aprecia que entre los votantes del PSOE el porcentaje de los que consideran que no </w:t>
      </w:r>
      <w:r>
        <w:lastRenderedPageBreak/>
        <w:t>probablemente o con seguridad no podrán a horrar (64,3%) es superior en diez o más puntos al que se registra entre los de los otros tres partidos.</w:t>
      </w:r>
    </w:p>
    <w:p w:rsidR="0089390A" w:rsidRDefault="0089390A" w:rsidP="00515243">
      <w:pPr>
        <w:pStyle w:val="Adentrado-1"/>
        <w:spacing w:before="120" w:after="120"/>
      </w:pPr>
    </w:p>
    <w:p w:rsidR="00371D09" w:rsidRPr="00C071D5" w:rsidRDefault="004E3F95" w:rsidP="00371D09">
      <w:pPr>
        <w:jc w:val="right"/>
        <w:rPr>
          <w:rFonts w:ascii="Arial" w:hAnsi="Arial" w:cs="Arial"/>
          <w:color w:val="333333"/>
          <w:sz w:val="18"/>
          <w:lang w:val="es-ES_tradnl"/>
        </w:rPr>
      </w:pPr>
      <w:r>
        <w:rPr>
          <w:rFonts w:ascii="Arial" w:hAnsi="Arial" w:cs="Arial"/>
          <w:color w:val="333333"/>
          <w:sz w:val="18"/>
          <w:lang w:val="es-ES_tradnl"/>
        </w:rPr>
        <w:t>Febr</w:t>
      </w:r>
      <w:r w:rsidR="00D9616D">
        <w:rPr>
          <w:rFonts w:ascii="Arial" w:hAnsi="Arial" w:cs="Arial"/>
          <w:color w:val="333333"/>
          <w:sz w:val="18"/>
          <w:lang w:val="es-ES_tradnl"/>
        </w:rPr>
        <w:t>ero</w:t>
      </w:r>
      <w:r w:rsidR="00371D09" w:rsidRPr="00C071D5">
        <w:rPr>
          <w:rFonts w:ascii="Arial" w:hAnsi="Arial" w:cs="Arial"/>
          <w:color w:val="333333"/>
          <w:sz w:val="18"/>
          <w:lang w:val="es-ES_tradnl"/>
        </w:rPr>
        <w:t xml:space="preserve"> | 20</w:t>
      </w:r>
      <w:r w:rsidR="000145BE" w:rsidRPr="00C071D5">
        <w:rPr>
          <w:rFonts w:ascii="Arial" w:hAnsi="Arial" w:cs="Arial"/>
          <w:color w:val="333333"/>
          <w:sz w:val="18"/>
          <w:lang w:val="es-ES_tradnl"/>
        </w:rPr>
        <w:t>1</w:t>
      </w:r>
      <w:r w:rsidR="00D9616D">
        <w:rPr>
          <w:rFonts w:ascii="Arial" w:hAnsi="Arial" w:cs="Arial"/>
          <w:color w:val="333333"/>
          <w:sz w:val="18"/>
          <w:lang w:val="es-ES_tradnl"/>
        </w:rPr>
        <w:t>8</w:t>
      </w:r>
    </w:p>
    <w:p w:rsidR="00371D09" w:rsidRPr="00A6570B" w:rsidRDefault="00371D09" w:rsidP="00371D09">
      <w:pPr>
        <w:jc w:val="right"/>
        <w:rPr>
          <w:rFonts w:ascii="Arial" w:hAnsi="Arial" w:cs="Arial"/>
          <w:color w:val="333333"/>
          <w:sz w:val="18"/>
          <w:lang w:val="es-ES_tradnl"/>
        </w:rPr>
      </w:pPr>
    </w:p>
    <w:p w:rsidR="00665089" w:rsidRPr="00A6570B" w:rsidRDefault="00371D09" w:rsidP="00665089">
      <w:pPr>
        <w:jc w:val="right"/>
        <w:rPr>
          <w:rFonts w:ascii="Arial" w:hAnsi="Arial" w:cs="Arial"/>
          <w:b/>
          <w:color w:val="5F5F5F"/>
          <w:sz w:val="18"/>
          <w:szCs w:val="18"/>
          <w:lang w:val="es-ES_tradnl"/>
        </w:rPr>
      </w:pPr>
      <w:r w:rsidRPr="00A6570B">
        <w:rPr>
          <w:rFonts w:ascii="Arial" w:hAnsi="Arial" w:cs="Arial"/>
          <w:b/>
          <w:color w:val="5F5F5F"/>
          <w:sz w:val="18"/>
          <w:szCs w:val="18"/>
          <w:lang w:val="es-ES_tradnl"/>
        </w:rPr>
        <w:t>Índices de Opinión Pública (IOP)</w:t>
      </w:r>
    </w:p>
    <w:p w:rsidR="00371D09" w:rsidRPr="00A6570B" w:rsidRDefault="00371D09" w:rsidP="00665089">
      <w:pPr>
        <w:jc w:val="right"/>
        <w:rPr>
          <w:rFonts w:ascii="Arial" w:hAnsi="Arial" w:cs="Arial"/>
          <w:color w:val="5F5F5F"/>
          <w:sz w:val="18"/>
          <w:szCs w:val="18"/>
          <w:lang w:val="es-ES_tradnl"/>
        </w:rPr>
      </w:pPr>
      <w:r w:rsidRPr="00A6570B">
        <w:rPr>
          <w:rFonts w:ascii="Arial" w:hAnsi="Arial" w:cs="Arial"/>
          <w:color w:val="5F5F5F"/>
          <w:sz w:val="18"/>
          <w:szCs w:val="18"/>
          <w:lang w:val="es-ES_tradnl"/>
        </w:rPr>
        <w:t>indices@simplelogica.com</w:t>
      </w:r>
    </w:p>
    <w:p w:rsidR="00665089" w:rsidRPr="00A6570B" w:rsidRDefault="00665089" w:rsidP="00E362AF">
      <w:pPr>
        <w:pStyle w:val="Adentrado-1"/>
        <w:ind w:firstLine="0"/>
        <w:jc w:val="left"/>
        <w:rPr>
          <w:rFonts w:cs="Tahoma"/>
          <w:color w:val="5F5F5F"/>
          <w:lang w:val="es-ES_tradnl"/>
        </w:rPr>
      </w:pPr>
    </w:p>
    <w:p w:rsidR="000573EE" w:rsidRPr="00A6570B" w:rsidRDefault="000573EE" w:rsidP="00FD0BA2">
      <w:pPr>
        <w:pStyle w:val="Normal-2"/>
        <w:pBdr>
          <w:bottom w:val="single" w:sz="8" w:space="1" w:color="DDDDDD"/>
        </w:pBdr>
        <w:ind w:left="0"/>
        <w:jc w:val="left"/>
        <w:rPr>
          <w:rFonts w:cs="Tahoma"/>
          <w:b/>
          <w:kern w:val="28"/>
          <w:sz w:val="18"/>
          <w:szCs w:val="18"/>
        </w:rPr>
        <w:sectPr w:rsidR="000573EE" w:rsidRPr="00A6570B" w:rsidSect="00E362AF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985" w:right="1134" w:bottom="1134" w:left="1134" w:header="851" w:footer="284" w:gutter="0"/>
          <w:cols w:num="2" w:space="397"/>
          <w:docGrid w:linePitch="360"/>
        </w:sectPr>
      </w:pPr>
    </w:p>
    <w:p w:rsidR="00FD0BA2" w:rsidRPr="00A6570B" w:rsidRDefault="00FD0BA2" w:rsidP="00FD0BA2">
      <w:pPr>
        <w:pStyle w:val="Normal-2"/>
        <w:pBdr>
          <w:bottom w:val="single" w:sz="8" w:space="1" w:color="DDDDDD"/>
        </w:pBdr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FD0BA2" w:rsidRPr="00A6570B" w:rsidRDefault="00FD0BA2" w:rsidP="00FD0BA2">
      <w:pPr>
        <w:pStyle w:val="Normal-2"/>
        <w:pBdr>
          <w:top w:val="single" w:sz="8" w:space="2" w:color="DDDDDD"/>
          <w:bottom w:val="single" w:sz="8" w:space="2" w:color="DDDDDD"/>
        </w:pBdr>
        <w:shd w:val="clear" w:color="auto" w:fill="DDDDDD"/>
        <w:spacing w:before="60"/>
        <w:ind w:left="0"/>
        <w:jc w:val="left"/>
        <w:rPr>
          <w:rFonts w:cs="Tahoma"/>
          <w:b/>
          <w:kern w:val="28"/>
          <w:sz w:val="18"/>
          <w:szCs w:val="18"/>
        </w:rPr>
      </w:pPr>
      <w:r w:rsidRPr="00A6570B">
        <w:rPr>
          <w:rFonts w:cs="Tahoma"/>
          <w:b/>
          <w:kern w:val="28"/>
          <w:sz w:val="18"/>
          <w:szCs w:val="18"/>
        </w:rPr>
        <w:t xml:space="preserve">  Pregunta</w:t>
      </w:r>
      <w:r w:rsidR="00643AB5">
        <w:rPr>
          <w:rFonts w:cs="Tahoma"/>
          <w:b/>
          <w:kern w:val="28"/>
          <w:sz w:val="18"/>
          <w:szCs w:val="18"/>
        </w:rPr>
        <w:t>s</w:t>
      </w:r>
    </w:p>
    <w:p w:rsidR="00FD0BA2" w:rsidRPr="00A6570B" w:rsidRDefault="00FD0BA2" w:rsidP="00FD0BA2">
      <w:pPr>
        <w:pStyle w:val="Normal-2"/>
        <w:pBdr>
          <w:top w:val="single" w:sz="8" w:space="1" w:color="DDDDDD"/>
        </w:pBdr>
        <w:spacing w:before="60" w:line="168" w:lineRule="auto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B129D5" w:rsidRPr="00B129D5" w:rsidRDefault="00643AB5" w:rsidP="00B129D5">
      <w:pPr>
        <w:pStyle w:val="Puntonaranja"/>
        <w:tabs>
          <w:tab w:val="clear" w:pos="606"/>
          <w:tab w:val="left" w:pos="454"/>
        </w:tabs>
        <w:spacing w:before="120" w:after="120"/>
        <w:ind w:left="397" w:right="227" w:hanging="227"/>
        <w:rPr>
          <w:b/>
          <w:noProof/>
          <w:sz w:val="18"/>
          <w:szCs w:val="18"/>
        </w:rPr>
      </w:pPr>
      <w:r w:rsidRPr="00643AB5">
        <w:rPr>
          <w:b/>
          <w:noProof/>
          <w:sz w:val="18"/>
          <w:szCs w:val="18"/>
        </w:rPr>
        <w:t>Teniendo en cuenta la situación económica general, ¿considera usted que ahora es un momento…?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Muy bueno para ahorrar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Bueno para ahorrar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No es un buen momento para ahorrar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Muy malo para ahorrar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B129D5">
        <w:rPr>
          <w:noProof/>
        </w:rPr>
        <w:t>No sabe</w:t>
      </w:r>
    </w:p>
    <w:p w:rsidR="00B129D5" w:rsidRPr="00B129D5" w:rsidRDefault="00643AB5" w:rsidP="00B129D5">
      <w:pPr>
        <w:pStyle w:val="Puntonaranja"/>
        <w:tabs>
          <w:tab w:val="clear" w:pos="606"/>
          <w:tab w:val="left" w:pos="454"/>
        </w:tabs>
        <w:spacing w:before="120" w:after="120"/>
        <w:ind w:left="397" w:right="227" w:hanging="227"/>
        <w:rPr>
          <w:b/>
          <w:noProof/>
          <w:sz w:val="18"/>
          <w:szCs w:val="18"/>
        </w:rPr>
      </w:pPr>
      <w:r w:rsidRPr="00643AB5">
        <w:rPr>
          <w:b/>
          <w:noProof/>
          <w:sz w:val="18"/>
          <w:szCs w:val="18"/>
        </w:rPr>
        <w:t>¿Qué probabilidad hay de que usted ahorre algún dinero durante los próximos 12 meses?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Sí, muy probablemente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Probablemente sí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Probablemente no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No, ninguna probabilidad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B129D5">
        <w:rPr>
          <w:noProof/>
        </w:rPr>
        <w:t>No sabe</w:t>
      </w:r>
    </w:p>
    <w:p w:rsidR="00B129D5" w:rsidRDefault="00643AB5" w:rsidP="00B129D5">
      <w:pPr>
        <w:pStyle w:val="Puntonaranja"/>
        <w:tabs>
          <w:tab w:val="clear" w:pos="606"/>
          <w:tab w:val="left" w:pos="454"/>
        </w:tabs>
        <w:spacing w:before="120" w:after="120"/>
        <w:ind w:left="397" w:right="227" w:hanging="227"/>
        <w:rPr>
          <w:b/>
          <w:noProof/>
          <w:sz w:val="18"/>
          <w:szCs w:val="18"/>
        </w:rPr>
      </w:pPr>
      <w:r w:rsidRPr="00643AB5">
        <w:rPr>
          <w:b/>
          <w:noProof/>
          <w:sz w:val="18"/>
          <w:szCs w:val="18"/>
        </w:rPr>
        <w:t>¿Cuál de las siguientes frases es la que mejor describiría la actual situación financiera de su hogar?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Estamos ahorrando mucho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Estamos ahorrando un poco</w:t>
      </w:r>
    </w:p>
    <w:p w:rsidR="00B129D5" w:rsidRDefault="00282AE3" w:rsidP="00643AB5">
      <w:pPr>
        <w:pStyle w:val="Adentrado-1"/>
        <w:tabs>
          <w:tab w:val="left" w:pos="851"/>
        </w:tabs>
        <w:spacing w:before="0" w:after="0"/>
        <w:ind w:left="574" w:right="284" w:hanging="120"/>
        <w:jc w:val="left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Logramos llegar justo a final de mes con nuestros ingresos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Tenemos que recurrir a nuestros ahorros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Nos estamos endeudando</w:t>
      </w:r>
    </w:p>
    <w:p w:rsidR="00B129D5" w:rsidRDefault="00282AE3" w:rsidP="00B129D5">
      <w:pPr>
        <w:pStyle w:val="Adentrado-1"/>
        <w:tabs>
          <w:tab w:val="left" w:pos="851"/>
        </w:tabs>
        <w:spacing w:before="0" w:after="0"/>
        <w:ind w:left="630" w:right="284" w:hanging="176"/>
        <w:rPr>
          <w:noProof/>
        </w:rPr>
      </w:pPr>
      <w:r>
        <w:rPr>
          <w:noProof/>
        </w:rPr>
        <w:t xml:space="preserve">- </w:t>
      </w:r>
      <w:r w:rsidR="00643AB5">
        <w:rPr>
          <w:noProof/>
        </w:rPr>
        <w:t>NS/NC</w:t>
      </w:r>
    </w:p>
    <w:p w:rsidR="00FD0BA2" w:rsidRPr="00A6570B" w:rsidRDefault="00FD0BA2" w:rsidP="00E362AF">
      <w:pPr>
        <w:pStyle w:val="Adentrado-1"/>
        <w:spacing w:before="0" w:after="0" w:line="120" w:lineRule="auto"/>
        <w:ind w:left="1418" w:firstLine="0"/>
        <w:rPr>
          <w:sz w:val="18"/>
          <w:szCs w:val="18"/>
          <w:lang w:val="es-ES_tradnl"/>
        </w:rPr>
      </w:pPr>
    </w:p>
    <w:p w:rsidR="00FD0BA2" w:rsidRDefault="00FD0BA2" w:rsidP="00FD0BA2">
      <w:pPr>
        <w:pStyle w:val="Normal-2"/>
        <w:pBdr>
          <w:top w:val="single" w:sz="8" w:space="1" w:color="DDDDDD"/>
        </w:pBdr>
        <w:spacing w:before="60" w:line="168" w:lineRule="auto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F017C4" w:rsidRDefault="00F017C4" w:rsidP="00FD0BA2">
      <w:pPr>
        <w:pStyle w:val="Normal-2"/>
        <w:pBdr>
          <w:top w:val="single" w:sz="8" w:space="1" w:color="DDDDDD"/>
        </w:pBdr>
        <w:spacing w:before="60" w:line="168" w:lineRule="auto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E362AF" w:rsidRDefault="00E930B1" w:rsidP="00E362AF">
      <w:pPr>
        <w:pStyle w:val="Normal-2"/>
        <w:spacing w:before="60" w:after="60" w:line="168" w:lineRule="auto"/>
        <w:ind w:left="-142"/>
        <w:jc w:val="left"/>
        <w:rPr>
          <w:rFonts w:cs="Tahoma"/>
          <w:b/>
          <w:kern w:val="28"/>
          <w:sz w:val="18"/>
          <w:szCs w:val="18"/>
        </w:rPr>
      </w:pPr>
      <w:r>
        <w:rPr>
          <w:rFonts w:cs="Tahoma"/>
          <w:b/>
          <w:kern w:val="28"/>
          <w:sz w:val="18"/>
          <w:szCs w:val="18"/>
        </w:rPr>
        <w:br w:type="column"/>
      </w:r>
    </w:p>
    <w:p w:rsidR="00FD0BA2" w:rsidRPr="00A6570B" w:rsidRDefault="00FE3AC1" w:rsidP="00FD0BA2">
      <w:pPr>
        <w:pStyle w:val="Normal-2"/>
        <w:spacing w:before="60" w:line="168" w:lineRule="auto"/>
        <w:ind w:left="-142"/>
        <w:jc w:val="left"/>
        <w:rPr>
          <w:rFonts w:cs="Tahoma"/>
          <w:b/>
          <w:kern w:val="28"/>
          <w:sz w:val="18"/>
          <w:szCs w:val="18"/>
        </w:rPr>
      </w:pPr>
      <w:r w:rsidRPr="00FE3AC1">
        <w:rPr>
          <w:rFonts w:cs="Tahoma"/>
          <w:b/>
          <w:kern w:val="28"/>
          <w:sz w:val="18"/>
          <w:szCs w:val="18"/>
        </w:rPr>
      </w:r>
      <w:r>
        <w:rPr>
          <w:rFonts w:cs="Tahoma"/>
          <w:b/>
          <w:kern w:val="28"/>
          <w:sz w:val="18"/>
          <w:szCs w:val="18"/>
        </w:rPr>
        <w:pict>
          <v:rect id="_x0000_s1117" style="width:242.05pt;height:383.9pt;mso-position-horizontal-relative:char;mso-position-vertical-relative:line" fillcolor="#ffe4d1" strokecolor="#ffe4d1" strokeweight=".25pt">
            <v:imagedata embosscolor="shadow add(51)"/>
            <v:shadow on="t" color="#ddd" offset="3pt,3pt" offset2="2pt,2pt"/>
            <v:textbox style="mso-next-textbox:#_x0000_s1117" inset="5mm,2.5mm,5mm,2.5mm">
              <w:txbxContent>
                <w:p w:rsidR="00077A3A" w:rsidRPr="00FD0BA2" w:rsidRDefault="00077A3A" w:rsidP="00B621B8">
                  <w:pPr>
                    <w:spacing w:before="120" w:after="120" w:line="312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</w:pPr>
                  <w:r w:rsidRPr="00FD0BA2"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  <w:t>Ficha Técnica</w:t>
                  </w:r>
                </w:p>
                <w:p w:rsidR="00077A3A" w:rsidRPr="00601C47" w:rsidRDefault="00077A3A" w:rsidP="00282AE3">
                  <w:pPr>
                    <w:spacing w:before="200" w:after="200" w:line="288" w:lineRule="auto"/>
                    <w:ind w:left="57"/>
                    <w:jc w:val="both"/>
                    <w:rPr>
                      <w:rFonts w:ascii="Tahoma" w:hAnsi="Tahoma"/>
                      <w:color w:val="333333"/>
                      <w:sz w:val="18"/>
                      <w:szCs w:val="18"/>
                    </w:rPr>
                  </w:pPr>
                  <w:r w:rsidRPr="00601C47">
                    <w:rPr>
                      <w:rFonts w:ascii="Tahoma" w:hAnsi="Tahoma"/>
                      <w:b/>
                      <w:color w:val="FF6141"/>
                      <w:sz w:val="18"/>
                      <w:szCs w:val="18"/>
                    </w:rPr>
                    <w:t>Ámbito: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España.</w:t>
                  </w:r>
                </w:p>
                <w:p w:rsidR="00077A3A" w:rsidRPr="00601C47" w:rsidRDefault="00077A3A" w:rsidP="00282AE3">
                  <w:pPr>
                    <w:spacing w:before="200" w:after="200" w:line="288" w:lineRule="auto"/>
                    <w:ind w:left="57"/>
                    <w:jc w:val="both"/>
                    <w:rPr>
                      <w:rFonts w:ascii="Tahoma" w:hAnsi="Tahoma"/>
                      <w:color w:val="333333"/>
                      <w:sz w:val="18"/>
                      <w:szCs w:val="18"/>
                    </w:rPr>
                  </w:pPr>
                  <w:r w:rsidRPr="00601C47">
                    <w:rPr>
                      <w:rFonts w:ascii="Tahoma" w:hAnsi="Tahoma"/>
                      <w:b/>
                      <w:color w:val="FF6141"/>
                      <w:sz w:val="18"/>
                      <w:szCs w:val="18"/>
                    </w:rPr>
                    <w:t>Universo: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Población de 1</w:t>
                  </w:r>
                  <w:r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>6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y más años de edad.</w:t>
                  </w:r>
                </w:p>
                <w:p w:rsidR="00077A3A" w:rsidRPr="00601C47" w:rsidRDefault="00077A3A" w:rsidP="00282AE3">
                  <w:pPr>
                    <w:spacing w:before="200" w:after="200" w:line="288" w:lineRule="auto"/>
                    <w:ind w:left="57"/>
                    <w:jc w:val="both"/>
                    <w:rPr>
                      <w:rFonts w:ascii="Tahoma" w:hAnsi="Tahoma"/>
                      <w:color w:val="333333"/>
                      <w:sz w:val="18"/>
                      <w:szCs w:val="18"/>
                    </w:rPr>
                  </w:pPr>
                  <w:r w:rsidRPr="00601C47">
                    <w:rPr>
                      <w:rFonts w:ascii="Tahoma" w:hAnsi="Tahoma"/>
                      <w:b/>
                      <w:color w:val="FF6141"/>
                      <w:sz w:val="18"/>
                      <w:szCs w:val="18"/>
                    </w:rPr>
                    <w:t>Muestra: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2.002 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>casos.</w:t>
                  </w:r>
                </w:p>
                <w:p w:rsidR="00077A3A" w:rsidRPr="00601C47" w:rsidRDefault="00077A3A" w:rsidP="00282AE3">
                  <w:pPr>
                    <w:spacing w:before="200" w:after="200" w:line="288" w:lineRule="auto"/>
                    <w:ind w:left="57"/>
                    <w:jc w:val="both"/>
                    <w:rPr>
                      <w:rFonts w:ascii="Tahoma" w:hAnsi="Tahoma"/>
                      <w:color w:val="333333"/>
                      <w:sz w:val="18"/>
                      <w:szCs w:val="18"/>
                    </w:rPr>
                  </w:pPr>
                  <w:r w:rsidRPr="00601C47">
                    <w:rPr>
                      <w:rFonts w:ascii="Tahoma" w:hAnsi="Tahoma"/>
                      <w:b/>
                      <w:color w:val="FF6141"/>
                      <w:sz w:val="18"/>
                      <w:szCs w:val="18"/>
                    </w:rPr>
                    <w:t>Entrevistas: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Telefónicas asistidas por ordenador.</w:t>
                  </w:r>
                </w:p>
                <w:p w:rsidR="00077A3A" w:rsidRPr="00601C47" w:rsidRDefault="00077A3A" w:rsidP="00282AE3">
                  <w:pPr>
                    <w:spacing w:before="200" w:after="200" w:line="288" w:lineRule="auto"/>
                    <w:ind w:left="57"/>
                    <w:jc w:val="both"/>
                    <w:rPr>
                      <w:rFonts w:ascii="Tahoma" w:hAnsi="Tahoma"/>
                      <w:color w:val="333333"/>
                      <w:sz w:val="18"/>
                      <w:szCs w:val="18"/>
                    </w:rPr>
                  </w:pPr>
                  <w:r w:rsidRPr="00601C47">
                    <w:rPr>
                      <w:rFonts w:ascii="Tahoma" w:hAnsi="Tahoma"/>
                      <w:b/>
                      <w:color w:val="FF6141"/>
                      <w:sz w:val="18"/>
                      <w:szCs w:val="18"/>
                    </w:rPr>
                    <w:t>Selección: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Aleatoria del hogar sobre listado telefónico y según cuotas de sexo y edad para la determinación de los individuos.</w:t>
                  </w:r>
                </w:p>
                <w:p w:rsidR="00077A3A" w:rsidRPr="00601C47" w:rsidRDefault="00077A3A" w:rsidP="00282AE3">
                  <w:pPr>
                    <w:spacing w:before="200" w:after="200" w:line="288" w:lineRule="auto"/>
                    <w:ind w:left="57"/>
                    <w:jc w:val="both"/>
                    <w:rPr>
                      <w:rFonts w:ascii="Tahoma" w:hAnsi="Tahoma"/>
                      <w:color w:val="333333"/>
                      <w:sz w:val="18"/>
                      <w:szCs w:val="18"/>
                    </w:rPr>
                  </w:pPr>
                  <w:r w:rsidRPr="00601C47">
                    <w:rPr>
                      <w:rFonts w:ascii="Tahoma" w:hAnsi="Tahoma"/>
                      <w:b/>
                      <w:color w:val="FF6141"/>
                      <w:sz w:val="18"/>
                      <w:szCs w:val="18"/>
                    </w:rPr>
                    <w:t>Trabajo de campo: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C62389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Del </w:t>
                  </w:r>
                  <w:r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>5</w:t>
                  </w:r>
                  <w:r w:rsidRPr="00C62389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al </w:t>
                  </w:r>
                  <w:r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>15</w:t>
                  </w:r>
                  <w:r w:rsidRPr="00C62389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>dic</w:t>
                  </w:r>
                  <w:r w:rsidRPr="00C62389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>iembre de 2017.</w:t>
                  </w:r>
                </w:p>
                <w:p w:rsidR="00077A3A" w:rsidRPr="00601C47" w:rsidRDefault="00077A3A" w:rsidP="00282AE3">
                  <w:pPr>
                    <w:spacing w:before="200" w:after="200" w:line="288" w:lineRule="auto"/>
                    <w:ind w:left="57"/>
                    <w:jc w:val="both"/>
                    <w:rPr>
                      <w:rFonts w:ascii="Tahoma" w:hAnsi="Tahoma"/>
                      <w:color w:val="333333"/>
                      <w:sz w:val="18"/>
                      <w:szCs w:val="18"/>
                    </w:rPr>
                  </w:pPr>
                  <w:r w:rsidRPr="00601C47">
                    <w:rPr>
                      <w:rFonts w:ascii="Tahoma" w:hAnsi="Tahoma"/>
                      <w:b/>
                      <w:color w:val="FF6141"/>
                      <w:sz w:val="18"/>
                      <w:szCs w:val="18"/>
                    </w:rPr>
                    <w:t>Margen de error: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t>±2,23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>% para p=q=0,5 y un nivel de confianza del 95,5% para datos globales.</w:t>
                  </w:r>
                </w:p>
                <w:p w:rsidR="00077A3A" w:rsidRDefault="00077A3A" w:rsidP="00282AE3">
                  <w:pPr>
                    <w:spacing w:before="200" w:after="200" w:line="288" w:lineRule="auto"/>
                    <w:ind w:left="57"/>
                    <w:jc w:val="both"/>
                    <w:rPr>
                      <w:rFonts w:ascii="Tahoma" w:hAnsi="Tahoma"/>
                      <w:color w:val="333333"/>
                      <w:sz w:val="18"/>
                      <w:szCs w:val="18"/>
                    </w:rPr>
                  </w:pPr>
                  <w:r w:rsidRPr="00601C47">
                    <w:rPr>
                      <w:rFonts w:ascii="Tahoma" w:hAnsi="Tahoma"/>
                      <w:b/>
                      <w:color w:val="FF6141"/>
                      <w:sz w:val="18"/>
                      <w:szCs w:val="18"/>
                    </w:rPr>
                    <w:t>Instituto responsable: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601C47">
                    <w:rPr>
                      <w:rFonts w:ascii="Tahoma" w:hAnsi="Tahoma"/>
                      <w:b/>
                      <w:color w:val="333333"/>
                      <w:sz w:val="18"/>
                      <w:szCs w:val="18"/>
                    </w:rPr>
                    <w:t>SIMPLE LÓGICA INVESTIGACIÓN, S.A.</w:t>
                  </w:r>
                  <w:r w:rsidRPr="00601C47">
                    <w:rPr>
                      <w:rFonts w:ascii="Tahoma" w:hAnsi="Tahoma"/>
                      <w:color w:val="333333"/>
                      <w:sz w:val="18"/>
                      <w:szCs w:val="18"/>
                    </w:rPr>
                    <w:t xml:space="preserve"> miembro de AEDEMO y acogido al código deontológico Internacional ICC/ESOMAR de Marketing e Investigación social.</w:t>
                  </w:r>
                </w:p>
                <w:p w:rsidR="00077A3A" w:rsidRPr="00AA5B46" w:rsidRDefault="00077A3A" w:rsidP="00282AE3">
                  <w:pPr>
                    <w:spacing w:before="200" w:after="200" w:line="288" w:lineRule="auto"/>
                    <w:ind w:left="57"/>
                    <w:jc w:val="both"/>
                    <w:rPr>
                      <w:rFonts w:ascii="Tahoma" w:hAnsi="Tahoma"/>
                      <w:b/>
                      <w:color w:val="333333"/>
                      <w:sz w:val="18"/>
                      <w:szCs w:val="18"/>
                    </w:rPr>
                  </w:pPr>
                  <w:r w:rsidRPr="00AA5B46">
                    <w:rPr>
                      <w:rFonts w:ascii="Tahoma" w:hAnsi="Tahoma"/>
                      <w:b/>
                      <w:color w:val="333333"/>
                      <w:sz w:val="18"/>
                      <w:szCs w:val="18"/>
                    </w:rPr>
                    <w:t>Encuesta incluida en el Programa Común Armonizado de Encuestas de Coyuntura de la Unión Europea y cofinanciada por la Comisión Europea.</w:t>
                  </w:r>
                </w:p>
                <w:p w:rsidR="00077A3A" w:rsidRPr="00FD0BA2" w:rsidRDefault="00077A3A" w:rsidP="00376ACB">
                  <w:pPr>
                    <w:spacing w:before="120" w:after="120" w:line="288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FD0BA2" w:rsidRDefault="00FD0BA2" w:rsidP="00FD0BA2">
      <w:pPr>
        <w:pStyle w:val="Normal-2"/>
        <w:ind w:left="-142"/>
        <w:jc w:val="left"/>
        <w:rPr>
          <w:rFonts w:cs="Tahoma"/>
          <w:b/>
          <w:kern w:val="28"/>
          <w:sz w:val="18"/>
          <w:szCs w:val="18"/>
        </w:rPr>
      </w:pPr>
    </w:p>
    <w:p w:rsidR="00F017C4" w:rsidRDefault="00F017C4" w:rsidP="00FD0BA2">
      <w:pPr>
        <w:pStyle w:val="Normal-2"/>
        <w:ind w:left="-142"/>
        <w:jc w:val="left"/>
        <w:rPr>
          <w:rFonts w:cs="Tahoma"/>
          <w:b/>
          <w:kern w:val="28"/>
          <w:sz w:val="18"/>
          <w:szCs w:val="18"/>
        </w:rPr>
      </w:pPr>
    </w:p>
    <w:p w:rsidR="00F017C4" w:rsidRDefault="00F017C4" w:rsidP="00FD0BA2">
      <w:pPr>
        <w:pStyle w:val="Normal-2"/>
        <w:ind w:left="-142"/>
        <w:jc w:val="left"/>
        <w:rPr>
          <w:rFonts w:cs="Tahoma"/>
          <w:b/>
          <w:kern w:val="28"/>
          <w:sz w:val="18"/>
          <w:szCs w:val="18"/>
        </w:rPr>
      </w:pPr>
    </w:p>
    <w:p w:rsidR="00F017C4" w:rsidRDefault="00F017C4" w:rsidP="00FD0BA2">
      <w:pPr>
        <w:pStyle w:val="Normal-2"/>
        <w:ind w:left="-142"/>
        <w:jc w:val="left"/>
        <w:rPr>
          <w:rFonts w:cs="Tahoma"/>
          <w:b/>
          <w:kern w:val="28"/>
          <w:sz w:val="18"/>
          <w:szCs w:val="18"/>
        </w:rPr>
      </w:pPr>
    </w:p>
    <w:p w:rsidR="00F017C4" w:rsidRDefault="00F017C4" w:rsidP="00FD0BA2">
      <w:pPr>
        <w:pStyle w:val="Normal-2"/>
        <w:ind w:left="-142"/>
        <w:jc w:val="left"/>
        <w:rPr>
          <w:rFonts w:cs="Tahoma"/>
          <w:b/>
          <w:kern w:val="28"/>
          <w:sz w:val="18"/>
          <w:szCs w:val="18"/>
        </w:rPr>
      </w:pPr>
    </w:p>
    <w:p w:rsidR="00F017C4" w:rsidRDefault="00F017C4" w:rsidP="00FD0BA2">
      <w:pPr>
        <w:pStyle w:val="Normal-2"/>
        <w:ind w:left="-142"/>
        <w:jc w:val="left"/>
        <w:rPr>
          <w:rFonts w:cs="Tahoma"/>
          <w:b/>
          <w:kern w:val="28"/>
          <w:sz w:val="18"/>
          <w:szCs w:val="18"/>
        </w:rPr>
      </w:pPr>
    </w:p>
    <w:p w:rsidR="00F017C4" w:rsidRPr="00A6570B" w:rsidRDefault="00F017C4" w:rsidP="00FD0BA2">
      <w:pPr>
        <w:pStyle w:val="Normal-2"/>
        <w:ind w:left="-142"/>
        <w:jc w:val="left"/>
        <w:rPr>
          <w:rFonts w:cs="Tahoma"/>
          <w:b/>
          <w:kern w:val="28"/>
          <w:sz w:val="18"/>
          <w:szCs w:val="18"/>
        </w:rPr>
      </w:pPr>
    </w:p>
    <w:p w:rsidR="003D6CA2" w:rsidRPr="00A6570B" w:rsidRDefault="003D6CA2" w:rsidP="00A74936">
      <w:pPr>
        <w:pStyle w:val="Adentrado-1"/>
        <w:tabs>
          <w:tab w:val="right" w:leader="dot" w:pos="2325"/>
        </w:tabs>
        <w:ind w:left="510" w:right="540" w:firstLine="0"/>
        <w:rPr>
          <w:color w:val="404040"/>
          <w:lang w:val="es-ES_tradnl"/>
        </w:rPr>
        <w:sectPr w:rsidR="003D6CA2" w:rsidRPr="00A6570B" w:rsidSect="007F12C1">
          <w:pgSz w:w="11906" w:h="16838" w:code="9"/>
          <w:pgMar w:top="1985" w:right="1134" w:bottom="1134" w:left="1134" w:header="851" w:footer="284" w:gutter="0"/>
          <w:cols w:num="2" w:space="397"/>
          <w:docGrid w:linePitch="360"/>
        </w:sectPr>
      </w:pPr>
    </w:p>
    <w:p w:rsidR="005311F5" w:rsidRPr="00A6570B" w:rsidRDefault="00FE3AC1" w:rsidP="00DB4F28">
      <w:pPr>
        <w:pStyle w:val="Adentrado-1"/>
        <w:pBdr>
          <w:top w:val="single" w:sz="8" w:space="10" w:color="808080"/>
          <w:left w:val="single" w:sz="8" w:space="10" w:color="808080"/>
          <w:bottom w:val="single" w:sz="8" w:space="10" w:color="808080"/>
          <w:right w:val="single" w:sz="8" w:space="10" w:color="808080"/>
        </w:pBdr>
        <w:spacing w:before="120" w:after="120" w:line="288" w:lineRule="auto"/>
        <w:ind w:left="210" w:right="125"/>
        <w:rPr>
          <w:b/>
          <w:lang w:val="es-ES_tradnl"/>
        </w:rPr>
      </w:pPr>
      <w:r w:rsidRPr="00FE3AC1">
        <w:rPr>
          <w:b/>
          <w:noProof/>
          <w:lang w:val="es-ES_tradnl"/>
        </w:rPr>
        <w:lastRenderedPageBreak/>
        <w:pict>
          <v:group id="_x0000_s1113" style="position:absolute;left:0;text-align:left;margin-left:338.15pt;margin-top:66.75pt;width:99pt;height:63pt;z-index:251657728" coordorigin="7641,3424" coordsize="3075,1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7641;top:4189;width:900;height:795">
              <v:imagedata r:id="rId18" o:title="barra1"/>
            </v:shape>
            <v:shape id="_x0000_s1115" type="#_x0000_t75" style="position:absolute;left:8728;top:3724;width:900;height:1260">
              <v:imagedata r:id="rId19" o:title="barra2"/>
            </v:shape>
            <v:shape id="_x0000_s1116" type="#_x0000_t75" style="position:absolute;left:9816;top:3424;width:900;height:1560">
              <v:imagedata r:id="rId20" o:title="barra3"/>
            </v:shape>
          </v:group>
        </w:pict>
      </w:r>
      <w:r w:rsidR="005311F5" w:rsidRPr="00A6570B">
        <w:rPr>
          <w:b/>
          <w:lang w:val="es-ES_tradnl"/>
        </w:rPr>
        <w:t>El servicio de seguimiento de los</w:t>
      </w:r>
      <w:r w:rsidR="005311F5" w:rsidRPr="00A6570B">
        <w:rPr>
          <w:b/>
          <w:color w:val="FFFFFF"/>
          <w:lang w:val="es-ES_tradnl"/>
        </w:rPr>
        <w:t xml:space="preserve"> </w:t>
      </w:r>
      <w:r w:rsidR="005311F5" w:rsidRPr="00A6570B">
        <w:rPr>
          <w:b/>
          <w:color w:val="FF6141"/>
          <w:lang w:val="es-ES_tradnl"/>
        </w:rPr>
        <w:t>Índices de la Opinión Pública (I.O.P.)</w:t>
      </w:r>
      <w:r w:rsidR="005311F5" w:rsidRPr="00A6570B">
        <w:rPr>
          <w:b/>
          <w:color w:val="FFFFFF"/>
          <w:lang w:val="es-ES_tradnl"/>
        </w:rPr>
        <w:t xml:space="preserve"> </w:t>
      </w:r>
      <w:r w:rsidR="005311F5" w:rsidRPr="00A6570B">
        <w:rPr>
          <w:b/>
          <w:lang w:val="es-ES_tradnl"/>
        </w:rPr>
        <w:t xml:space="preserve">de </w:t>
      </w:r>
      <w:r w:rsidR="005311F5" w:rsidRPr="00A6570B">
        <w:rPr>
          <w:b/>
          <w:color w:val="FF6141"/>
          <w:lang w:val="es-ES_tradnl"/>
        </w:rPr>
        <w:t>SIMPLE LÓGICA</w:t>
      </w:r>
      <w:r w:rsidR="005311F5">
        <w:rPr>
          <w:b/>
          <w:color w:val="auto"/>
          <w:lang w:val="es-ES_tradnl"/>
        </w:rPr>
        <w:t xml:space="preserve">, </w:t>
      </w:r>
      <w:r w:rsidR="005311F5" w:rsidRPr="00A6570B">
        <w:rPr>
          <w:b/>
          <w:lang w:val="es-ES_tradnl"/>
        </w:rPr>
        <w:t>es una iniciativa puesta en marcha por la propia empresa como instrumento de seguimiento de la Opinión Pública española en relación a los temas y acontecimientos en que esta se centra en cada momento.</w:t>
      </w:r>
    </w:p>
    <w:p w:rsidR="005311F5" w:rsidRPr="00A6570B" w:rsidRDefault="005311F5" w:rsidP="00DB4F28">
      <w:pPr>
        <w:pStyle w:val="Adentrado-1"/>
        <w:pBdr>
          <w:top w:val="single" w:sz="8" w:space="10" w:color="808080"/>
          <w:left w:val="single" w:sz="8" w:space="10" w:color="808080"/>
          <w:bottom w:val="single" w:sz="8" w:space="10" w:color="808080"/>
          <w:right w:val="single" w:sz="8" w:space="10" w:color="808080"/>
        </w:pBdr>
        <w:spacing w:before="120" w:after="120" w:line="288" w:lineRule="auto"/>
        <w:ind w:left="210" w:right="125"/>
        <w:jc w:val="left"/>
        <w:rPr>
          <w:b/>
          <w:lang w:val="es-ES_tradnl"/>
        </w:rPr>
      </w:pPr>
      <w:r w:rsidRPr="00A6570B">
        <w:rPr>
          <w:b/>
          <w:lang w:val="es-ES_tradnl"/>
        </w:rPr>
        <w:t xml:space="preserve">El servicio es complemento y prolongación de la actividad ordinaria de </w:t>
      </w:r>
      <w:r w:rsidRPr="00A6570B">
        <w:rPr>
          <w:b/>
          <w:color w:val="FF6141"/>
          <w:lang w:val="es-ES_tradnl"/>
        </w:rPr>
        <w:t>SIMPLE LÓGICA</w:t>
      </w:r>
      <w:r w:rsidRPr="00A6570B">
        <w:rPr>
          <w:b/>
          <w:lang w:val="es-ES_tradnl"/>
        </w:rPr>
        <w:t xml:space="preserve"> en el terreno de </w:t>
      </w:r>
      <w:smartTag w:uri="urn:schemas-microsoft-com:office:smarttags" w:element="PersonName">
        <w:smartTagPr>
          <w:attr w:name="ProductID" w:val="la Investigaci￳n Social"/>
        </w:smartTagPr>
        <w:r w:rsidRPr="00A6570B">
          <w:rPr>
            <w:b/>
            <w:lang w:val="es-ES_tradnl"/>
          </w:rPr>
          <w:t>la Investigación Social</w:t>
        </w:r>
      </w:smartTag>
      <w:r w:rsidRPr="00A6570B">
        <w:rPr>
          <w:b/>
          <w:lang w:val="es-ES_tradnl"/>
        </w:rPr>
        <w:t xml:space="preserve"> y los Estudios de Mercado y forma parte de los trabajos</w:t>
      </w:r>
      <w:r w:rsidRPr="00A6570B">
        <w:rPr>
          <w:b/>
          <w:lang w:val="es-ES_tradnl"/>
        </w:rPr>
        <w:br/>
        <w:t>de investigación que realiza en la propia área de Opinión Pública.</w:t>
      </w:r>
    </w:p>
    <w:p w:rsidR="005311F5" w:rsidRPr="00A6570B" w:rsidRDefault="005311F5" w:rsidP="00DB4F28">
      <w:pPr>
        <w:pStyle w:val="Adentrado-1"/>
        <w:pBdr>
          <w:top w:val="single" w:sz="8" w:space="10" w:color="808080"/>
          <w:left w:val="single" w:sz="8" w:space="10" w:color="808080"/>
          <w:bottom w:val="single" w:sz="8" w:space="10" w:color="808080"/>
          <w:right w:val="single" w:sz="8" w:space="10" w:color="808080"/>
        </w:pBdr>
        <w:spacing w:before="120" w:after="120" w:line="288" w:lineRule="auto"/>
        <w:ind w:left="210" w:right="125"/>
        <w:rPr>
          <w:rFonts w:cs="Tahoma"/>
          <w:b/>
          <w:kern w:val="28"/>
          <w:sz w:val="18"/>
          <w:szCs w:val="18"/>
          <w:lang w:val="es-ES_tradnl"/>
        </w:rPr>
      </w:pPr>
      <w:r w:rsidRPr="00A6570B">
        <w:rPr>
          <w:b/>
          <w:color w:val="FF6141"/>
          <w:lang w:val="es-ES_tradnl"/>
        </w:rPr>
        <w:t>SIMPLE LÓGICA</w:t>
      </w:r>
      <w:r w:rsidRPr="00A6570B">
        <w:rPr>
          <w:b/>
          <w:lang w:val="es-ES_tradnl"/>
        </w:rPr>
        <w:t xml:space="preserve"> desarrolla todas sus actividades de consultoría, interpretación, análisis y recogida de datos, siguiendo criterios rigurosos de calidad, cuenta con la certificación de calidad conforme a </w:t>
      </w:r>
      <w:smartTag w:uri="urn:schemas-microsoft-com:office:smarttags" w:element="PersonName">
        <w:smartTagPr>
          <w:attr w:name="ProductID" w:val="la norma UNE-EN"/>
        </w:smartTagPr>
        <w:r w:rsidRPr="00A6570B">
          <w:rPr>
            <w:b/>
            <w:lang w:val="es-ES_tradnl"/>
          </w:rPr>
          <w:t>la norma UNE-EN</w:t>
        </w:r>
      </w:smartTag>
      <w:r w:rsidRPr="00A6570B">
        <w:rPr>
          <w:b/>
          <w:lang w:val="es-ES_tradnl"/>
        </w:rPr>
        <w:t>-ISO 9001, es miembro de AEDEMO y ESOMAR y está acogida al código deontológico ICC/ESOMAR de Marketing e Investigación Social.</w:t>
      </w: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  <w:r w:rsidRPr="00A6570B">
        <w:rPr>
          <w:rFonts w:cs="Tahoma"/>
          <w:b/>
          <w:kern w:val="28"/>
          <w:sz w:val="18"/>
          <w:szCs w:val="18"/>
        </w:rPr>
        <w:br w:type="column"/>
      </w: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FE3AC1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  <w:r w:rsidRPr="00FE3AC1">
        <w:rPr>
          <w:rFonts w:cs="Tahoma"/>
          <w:b/>
          <w:noProof/>
          <w:kern w:val="28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-5.1pt;margin-top:6.5pt;width:135pt;height:54pt;z-index:251656704" wrapcoords="0 0 21600 0 21600 21600 0 21600 0 0" filled="f" stroked="f">
            <v:textbox style="mso-next-textbox:#_x0000_s1112">
              <w:txbxContent>
                <w:p w:rsidR="00077A3A" w:rsidRPr="003C1E6F" w:rsidRDefault="00077A3A" w:rsidP="005311F5">
                  <w:pPr>
                    <w:rPr>
                      <w:rFonts w:ascii="Century Gothic" w:hAnsi="Century Gothic"/>
                      <w:b/>
                      <w:color w:val="5F5F5F"/>
                      <w:sz w:val="60"/>
                      <w:szCs w:val="60"/>
                    </w:rPr>
                  </w:pPr>
                  <w:r w:rsidRPr="00665089">
                    <w:rPr>
                      <w:rFonts w:ascii="Century Gothic" w:hAnsi="Century Gothic"/>
                      <w:b/>
                      <w:color w:val="FF6141"/>
                      <w:sz w:val="60"/>
                      <w:szCs w:val="60"/>
                    </w:rPr>
                    <w:t>I.</w:t>
                  </w:r>
                  <w:r w:rsidRPr="003C1E6F">
                    <w:rPr>
                      <w:rFonts w:ascii="Century Gothic" w:hAnsi="Century Gothic"/>
                      <w:b/>
                      <w:color w:val="5F5F5F"/>
                      <w:sz w:val="60"/>
                      <w:szCs w:val="60"/>
                    </w:rPr>
                    <w:t>O.P.</w:t>
                  </w:r>
                </w:p>
              </w:txbxContent>
            </v:textbox>
          </v:shape>
        </w:pict>
      </w: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</w:pPr>
    </w:p>
    <w:p w:rsidR="005311F5" w:rsidRPr="00A6570B" w:rsidRDefault="005311F5" w:rsidP="005311F5">
      <w:pPr>
        <w:pStyle w:val="Normal-2"/>
        <w:ind w:left="0"/>
        <w:jc w:val="left"/>
        <w:rPr>
          <w:rFonts w:cs="Tahoma"/>
          <w:b/>
          <w:kern w:val="28"/>
          <w:sz w:val="18"/>
          <w:szCs w:val="18"/>
        </w:rPr>
        <w:sectPr w:rsidR="005311F5" w:rsidRPr="00A6570B" w:rsidSect="00152E5D">
          <w:headerReference w:type="first" r:id="rId21"/>
          <w:footerReference w:type="first" r:id="rId22"/>
          <w:pgSz w:w="11906" w:h="16838" w:code="9"/>
          <w:pgMar w:top="1134" w:right="1418" w:bottom="851" w:left="1418" w:header="709" w:footer="567" w:gutter="0"/>
          <w:cols w:num="2" w:space="454" w:equalWidth="0">
            <w:col w:w="7088" w:space="454"/>
            <w:col w:w="1528"/>
          </w:cols>
          <w:titlePg/>
          <w:docGrid w:linePitch="360"/>
        </w:sectPr>
      </w:pPr>
    </w:p>
    <w:p w:rsidR="005311F5" w:rsidRPr="00A6570B" w:rsidRDefault="005311F5" w:rsidP="005311F5">
      <w:pPr>
        <w:pStyle w:val="Normal-2"/>
        <w:spacing w:line="120" w:lineRule="auto"/>
        <w:ind w:left="0"/>
        <w:jc w:val="left"/>
        <w:rPr>
          <w:rFonts w:cs="Tahoma"/>
          <w:b/>
          <w:kern w:val="28"/>
          <w:sz w:val="18"/>
          <w:szCs w:val="18"/>
        </w:rPr>
      </w:pPr>
    </w:p>
    <w:tbl>
      <w:tblPr>
        <w:tblW w:w="0" w:type="auto"/>
        <w:tblInd w:w="6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029"/>
      </w:tblGrid>
      <w:tr w:rsidR="00D61F90" w:rsidRPr="003039FC" w:rsidTr="003039FC">
        <w:tc>
          <w:tcPr>
            <w:tcW w:w="9029" w:type="dxa"/>
          </w:tcPr>
          <w:p w:rsidR="00D61F90" w:rsidRPr="003039FC" w:rsidRDefault="00D61F90" w:rsidP="003039FC">
            <w:pPr>
              <w:pStyle w:val="Adentrado-1"/>
              <w:spacing w:before="120" w:after="120" w:line="288" w:lineRule="auto"/>
              <w:rPr>
                <w:b/>
                <w:lang w:val="es-ES_tradnl"/>
              </w:rPr>
            </w:pPr>
            <w:r w:rsidRPr="003039FC">
              <w:rPr>
                <w:b/>
                <w:color w:val="FF6141"/>
                <w:lang w:val="es-ES_tradnl"/>
              </w:rPr>
              <w:t xml:space="preserve">Servicios Ómnibus Simple Lógica. </w:t>
            </w:r>
            <w:r w:rsidRPr="003039FC">
              <w:rPr>
                <w:b/>
                <w:lang w:val="es-ES_tradnl"/>
              </w:rPr>
              <w:t xml:space="preserve">De periodicidad mensual, </w:t>
            </w:r>
            <w:r w:rsidR="00945D4D" w:rsidRPr="00945D4D">
              <w:rPr>
                <w:b/>
                <w:lang w:val="es-ES_tradnl"/>
              </w:rPr>
              <w:t>está dirigido a targets de gran interés socioeconómico</w:t>
            </w:r>
            <w:r w:rsidRPr="003039FC">
              <w:rPr>
                <w:b/>
                <w:lang w:val="es-ES_tradnl"/>
              </w:rPr>
              <w:t>:</w:t>
            </w:r>
          </w:p>
          <w:p w:rsidR="00D61F90" w:rsidRPr="003039FC" w:rsidRDefault="00D61F90" w:rsidP="003039FC">
            <w:pPr>
              <w:pStyle w:val="Adentrado-1"/>
              <w:spacing w:before="120" w:after="120"/>
              <w:jc w:val="center"/>
              <w:rPr>
                <w:b/>
                <w:sz w:val="22"/>
                <w:szCs w:val="22"/>
                <w:u w:val="single"/>
                <w:lang w:val="es-ES_tradnl"/>
              </w:rPr>
            </w:pPr>
            <w:r w:rsidRPr="003039FC">
              <w:rPr>
                <w:b/>
                <w:sz w:val="22"/>
                <w:szCs w:val="22"/>
                <w:u w:val="single"/>
                <w:lang w:val="es-ES_tradnl"/>
              </w:rPr>
              <w:t>Empresas de servicios</w:t>
            </w:r>
          </w:p>
          <w:p w:rsidR="00D61F90" w:rsidRPr="003039FC" w:rsidRDefault="00D61F90" w:rsidP="003039FC">
            <w:pPr>
              <w:pStyle w:val="Adentrado-1"/>
              <w:spacing w:before="120" w:after="120"/>
              <w:jc w:val="center"/>
              <w:rPr>
                <w:b/>
                <w:sz w:val="22"/>
                <w:szCs w:val="22"/>
                <w:u w:val="single"/>
                <w:lang w:val="es-ES_tradnl"/>
              </w:rPr>
            </w:pPr>
            <w:r w:rsidRPr="003039FC">
              <w:rPr>
                <w:b/>
                <w:sz w:val="22"/>
                <w:szCs w:val="22"/>
                <w:u w:val="single"/>
                <w:lang w:val="es-ES_tradnl"/>
              </w:rPr>
              <w:t>Comercios minoristas</w:t>
            </w:r>
          </w:p>
          <w:p w:rsidR="00D61F90" w:rsidRPr="003039FC" w:rsidRDefault="00D61F90" w:rsidP="003039FC">
            <w:pPr>
              <w:pStyle w:val="Adentrado-1"/>
              <w:spacing w:before="120" w:after="120" w:line="312" w:lineRule="auto"/>
              <w:jc w:val="center"/>
              <w:rPr>
                <w:b/>
                <w:sz w:val="22"/>
                <w:szCs w:val="22"/>
                <w:u w:val="single"/>
                <w:lang w:val="es-ES_tradnl"/>
              </w:rPr>
            </w:pPr>
            <w:r w:rsidRPr="003039FC">
              <w:rPr>
                <w:b/>
                <w:sz w:val="22"/>
                <w:szCs w:val="22"/>
                <w:u w:val="single"/>
                <w:lang w:val="es-ES_tradnl"/>
              </w:rPr>
              <w:t>Población General (Consumidores)</w:t>
            </w:r>
          </w:p>
          <w:p w:rsidR="00D61F90" w:rsidRPr="003039FC" w:rsidRDefault="00945D4D" w:rsidP="003039FC">
            <w:pPr>
              <w:pStyle w:val="Adentrado-1"/>
              <w:tabs>
                <w:tab w:val="center" w:pos="5103"/>
              </w:tabs>
              <w:spacing w:before="120" w:after="120" w:line="288" w:lineRule="auto"/>
              <w:rPr>
                <w:b/>
                <w:lang w:val="es-ES_tradnl"/>
              </w:rPr>
            </w:pPr>
            <w:r w:rsidRPr="00945D4D">
              <w:rPr>
                <w:b/>
                <w:lang w:val="es-ES_tradnl"/>
              </w:rPr>
              <w:t>Supone una valiosa herramienta, ya que permite al cliente realizar investigaciones mediante encuestas y disponer de la información en plazos y costes muy interesantes, con plenas garantías técnicas.</w:t>
            </w:r>
          </w:p>
          <w:p w:rsidR="00DB4F28" w:rsidRPr="003039FC" w:rsidRDefault="00D61F90" w:rsidP="003039FC">
            <w:pPr>
              <w:pStyle w:val="Adentrado-1"/>
              <w:spacing w:before="120" w:after="0" w:line="288" w:lineRule="auto"/>
              <w:rPr>
                <w:b/>
                <w:lang w:val="es-ES_tradnl"/>
              </w:rPr>
            </w:pPr>
            <w:r w:rsidRPr="003039FC">
              <w:rPr>
                <w:b/>
                <w:lang w:val="es-ES_tradnl"/>
              </w:rPr>
              <w:t>Para cualquier petición de información o solicitud de presupuesto si</w:t>
            </w:r>
            <w:r w:rsidR="00DB4F28" w:rsidRPr="003039FC">
              <w:rPr>
                <w:b/>
                <w:lang w:val="es-ES_tradnl"/>
              </w:rPr>
              <w:t>n compromiso puede dirigirse a:</w:t>
            </w:r>
          </w:p>
          <w:p w:rsidR="00D61F90" w:rsidRPr="003039FC" w:rsidRDefault="00D61F90" w:rsidP="003039FC">
            <w:pPr>
              <w:pStyle w:val="Adentrado-1"/>
              <w:spacing w:before="0" w:after="120" w:line="288" w:lineRule="auto"/>
              <w:jc w:val="center"/>
              <w:rPr>
                <w:b/>
                <w:lang w:val="es-ES_tradnl"/>
              </w:rPr>
            </w:pPr>
            <w:r w:rsidRPr="003039FC">
              <w:rPr>
                <w:rFonts w:cs="Tahoma"/>
                <w:b/>
                <w:color w:val="4D4D4D"/>
                <w:kern w:val="28"/>
                <w:sz w:val="18"/>
                <w:szCs w:val="18"/>
                <w:lang w:val="es-ES_tradnl"/>
              </w:rPr>
              <w:t>Sergio Azañedo Sánchez</w:t>
            </w:r>
            <w:r w:rsidRPr="003039FC">
              <w:rPr>
                <w:rFonts w:cs="Tahoma"/>
                <w:b/>
                <w:color w:val="4D4D4D"/>
                <w:kern w:val="28"/>
                <w:sz w:val="18"/>
                <w:szCs w:val="18"/>
                <w:lang w:val="es-ES_tradnl"/>
              </w:rPr>
              <w:br/>
              <w:t>sazanedo@simplelogica.com   |   Tlf.: 91 206 10 00</w:t>
            </w:r>
          </w:p>
        </w:tc>
      </w:tr>
    </w:tbl>
    <w:p w:rsidR="00D61F90" w:rsidRDefault="00D61F90" w:rsidP="005311F5">
      <w:pPr>
        <w:spacing w:line="264" w:lineRule="auto"/>
        <w:jc w:val="center"/>
      </w:pPr>
    </w:p>
    <w:sectPr w:rsidR="00D61F90" w:rsidSect="008C681B">
      <w:type w:val="continuous"/>
      <w:pgSz w:w="11906" w:h="16838" w:code="9"/>
      <w:pgMar w:top="1701" w:right="851" w:bottom="567" w:left="851" w:header="397" w:footer="397" w:gutter="0"/>
      <w:cols w:space="454" w:equalWidth="0">
        <w:col w:w="10204" w:space="454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68" w:rsidRDefault="001D3568">
      <w:r>
        <w:separator/>
      </w:r>
    </w:p>
  </w:endnote>
  <w:endnote w:type="continuationSeparator" w:id="1">
    <w:p w:rsidR="001D3568" w:rsidRDefault="001D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A" w:rsidRDefault="00077A3A" w:rsidP="00F9167F">
    <w:pPr>
      <w:jc w:val="center"/>
    </w:pPr>
    <w:r>
      <w:rPr>
        <w:noProof/>
      </w:rPr>
      <w:drawing>
        <wp:inline distT="0" distB="0" distL="0" distR="0">
          <wp:extent cx="2143125" cy="638175"/>
          <wp:effectExtent l="19050" t="0" r="9525" b="0"/>
          <wp:docPr id="4" name="Imagen 4" descr="Logo-medi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med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r>
      <w:br/>
    </w:r>
    <w:r>
      <w:rPr>
        <w:noProof/>
      </w:rPr>
      <w:drawing>
        <wp:inline distT="0" distB="0" distL="0" distR="0">
          <wp:extent cx="5191125" cy="238125"/>
          <wp:effectExtent l="19050" t="0" r="9525" b="0"/>
          <wp:docPr id="5" name="Imagen 5" descr="3palabra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palabras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7A3A" w:rsidRDefault="00077A3A" w:rsidP="00717622">
    <w:pPr>
      <w:pStyle w:val="Piedepgina"/>
      <w:ind w:left="98"/>
      <w:jc w:val="center"/>
      <w:rPr>
        <w:rFonts w:ascii="Century Gothic" w:hAnsi="Century Gothic"/>
        <w:b/>
        <w:color w:val="999999"/>
        <w:spacing w:val="55"/>
        <w:sz w:val="14"/>
        <w:szCs w:val="14"/>
      </w:rPr>
    </w:pPr>
  </w:p>
  <w:p w:rsidR="00077A3A" w:rsidRDefault="00077A3A" w:rsidP="00717622">
    <w:pPr>
      <w:pStyle w:val="Piedepgina"/>
      <w:ind w:left="98"/>
      <w:jc w:val="center"/>
      <w:rPr>
        <w:rFonts w:ascii="Century Gothic" w:hAnsi="Century Gothic"/>
        <w:b/>
        <w:color w:val="999999"/>
        <w:spacing w:val="55"/>
        <w:sz w:val="14"/>
        <w:szCs w:val="14"/>
      </w:rPr>
    </w:pPr>
  </w:p>
  <w:p w:rsidR="00077A3A" w:rsidRPr="00AB66B8" w:rsidRDefault="00077A3A" w:rsidP="00717622">
    <w:pPr>
      <w:pStyle w:val="Piedepgina"/>
      <w:ind w:left="98"/>
      <w:jc w:val="center"/>
      <w:rPr>
        <w:rFonts w:ascii="Century" w:hAnsi="Century" w:cs="David"/>
        <w:b/>
        <w:bCs/>
        <w:iCs/>
        <w:color w:val="6F6F6F"/>
        <w:spacing w:val="55"/>
        <w:sz w:val="36"/>
        <w:szCs w:val="3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608" w:type="dxa"/>
      <w:shd w:val="clear" w:color="auto" w:fill="808080"/>
      <w:tblLook w:val="01E0"/>
    </w:tblPr>
    <w:tblGrid>
      <w:gridCol w:w="720"/>
    </w:tblGrid>
    <w:tr w:rsidR="00077A3A" w:rsidRPr="005353E9" w:rsidTr="005353E9">
      <w:tc>
        <w:tcPr>
          <w:tcW w:w="720" w:type="dxa"/>
          <w:shd w:val="clear" w:color="auto" w:fill="808080"/>
          <w:vAlign w:val="center"/>
        </w:tcPr>
        <w:p w:rsidR="00077A3A" w:rsidRPr="005353E9" w:rsidRDefault="00FE3AC1" w:rsidP="005353E9">
          <w:pPr>
            <w:pStyle w:val="Piedepgina"/>
            <w:spacing w:before="120" w:after="120"/>
            <w:jc w:val="center"/>
            <w:rPr>
              <w:rFonts w:ascii="Tahoma" w:hAnsi="Tahoma" w:cs="Tahoma"/>
              <w:b/>
              <w:color w:val="FFFFFF"/>
              <w:sz w:val="18"/>
              <w:szCs w:val="18"/>
            </w:rPr>
          </w:pPr>
          <w:r w:rsidRPr="005353E9">
            <w:rPr>
              <w:rStyle w:val="Nmerodepgina"/>
              <w:rFonts w:ascii="Tahoma" w:hAnsi="Tahoma" w:cs="Tahoma"/>
              <w:b/>
              <w:color w:val="FFFFFF"/>
              <w:sz w:val="18"/>
              <w:szCs w:val="18"/>
            </w:rPr>
            <w:fldChar w:fldCharType="begin"/>
          </w:r>
          <w:r w:rsidR="00077A3A" w:rsidRPr="005353E9">
            <w:rPr>
              <w:rStyle w:val="Nmerodepgina"/>
              <w:rFonts w:ascii="Tahoma" w:hAnsi="Tahoma" w:cs="Tahoma"/>
              <w:b/>
              <w:color w:val="FFFFFF"/>
              <w:sz w:val="18"/>
              <w:szCs w:val="18"/>
            </w:rPr>
            <w:instrText xml:space="preserve"> PAGE </w:instrText>
          </w:r>
          <w:r w:rsidRPr="005353E9">
            <w:rPr>
              <w:rStyle w:val="Nmerodepgina"/>
              <w:rFonts w:ascii="Tahoma" w:hAnsi="Tahoma" w:cs="Tahoma"/>
              <w:b/>
              <w:color w:val="FFFFFF"/>
              <w:sz w:val="18"/>
              <w:szCs w:val="18"/>
            </w:rPr>
            <w:fldChar w:fldCharType="separate"/>
          </w:r>
          <w:r w:rsidR="00CD53BC">
            <w:rPr>
              <w:rStyle w:val="Nmerodepgina"/>
              <w:rFonts w:ascii="Tahoma" w:hAnsi="Tahoma" w:cs="Tahoma"/>
              <w:b/>
              <w:noProof/>
              <w:color w:val="FFFFFF"/>
              <w:sz w:val="18"/>
              <w:szCs w:val="18"/>
            </w:rPr>
            <w:t>2</w:t>
          </w:r>
          <w:r w:rsidRPr="005353E9">
            <w:rPr>
              <w:rStyle w:val="Nmerodepgina"/>
              <w:rFonts w:ascii="Tahoma" w:hAnsi="Tahoma" w:cs="Tahoma"/>
              <w:b/>
              <w:color w:val="FFFFFF"/>
              <w:sz w:val="18"/>
              <w:szCs w:val="18"/>
            </w:rPr>
            <w:fldChar w:fldCharType="end"/>
          </w:r>
        </w:p>
      </w:tc>
    </w:tr>
  </w:tbl>
  <w:p w:rsidR="00077A3A" w:rsidRPr="00EC3F81" w:rsidRDefault="00077A3A" w:rsidP="00137532">
    <w:pPr>
      <w:pStyle w:val="Piedepgina"/>
      <w:spacing w:line="120" w:lineRule="auto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608" w:type="dxa"/>
      <w:shd w:val="clear" w:color="auto" w:fill="808080"/>
      <w:tblLook w:val="01E0"/>
    </w:tblPr>
    <w:tblGrid>
      <w:gridCol w:w="720"/>
    </w:tblGrid>
    <w:tr w:rsidR="00077A3A" w:rsidRPr="005353E9" w:rsidTr="005353E9">
      <w:tc>
        <w:tcPr>
          <w:tcW w:w="720" w:type="dxa"/>
          <w:shd w:val="clear" w:color="auto" w:fill="808080"/>
          <w:vAlign w:val="center"/>
        </w:tcPr>
        <w:p w:rsidR="00077A3A" w:rsidRPr="005353E9" w:rsidRDefault="00FE3AC1" w:rsidP="005353E9">
          <w:pPr>
            <w:pStyle w:val="Piedepgina"/>
            <w:spacing w:before="120" w:after="120"/>
            <w:jc w:val="center"/>
            <w:rPr>
              <w:rFonts w:ascii="Tahoma" w:hAnsi="Tahoma" w:cs="Tahoma"/>
              <w:b/>
              <w:color w:val="FFFFFF"/>
              <w:sz w:val="18"/>
              <w:szCs w:val="18"/>
            </w:rPr>
          </w:pPr>
          <w:r w:rsidRPr="005353E9">
            <w:rPr>
              <w:rStyle w:val="Nmerodepgina"/>
              <w:rFonts w:ascii="Tahoma" w:hAnsi="Tahoma" w:cs="Tahoma"/>
              <w:b/>
              <w:color w:val="FFFFFF"/>
              <w:sz w:val="18"/>
              <w:szCs w:val="18"/>
            </w:rPr>
            <w:fldChar w:fldCharType="begin"/>
          </w:r>
          <w:r w:rsidR="00077A3A" w:rsidRPr="005353E9">
            <w:rPr>
              <w:rStyle w:val="Nmerodepgina"/>
              <w:rFonts w:ascii="Tahoma" w:hAnsi="Tahoma" w:cs="Tahoma"/>
              <w:b/>
              <w:color w:val="FFFFFF"/>
              <w:sz w:val="18"/>
              <w:szCs w:val="18"/>
            </w:rPr>
            <w:instrText xml:space="preserve"> PAGE </w:instrText>
          </w:r>
          <w:r w:rsidRPr="005353E9">
            <w:rPr>
              <w:rStyle w:val="Nmerodepgina"/>
              <w:rFonts w:ascii="Tahoma" w:hAnsi="Tahoma" w:cs="Tahoma"/>
              <w:b/>
              <w:color w:val="FFFFFF"/>
              <w:sz w:val="18"/>
              <w:szCs w:val="18"/>
            </w:rPr>
            <w:fldChar w:fldCharType="separate"/>
          </w:r>
          <w:r w:rsidR="00077A3A" w:rsidRPr="005353E9">
            <w:rPr>
              <w:rStyle w:val="Nmerodepgina"/>
              <w:rFonts w:ascii="Tahoma" w:hAnsi="Tahoma" w:cs="Tahoma"/>
              <w:b/>
              <w:noProof/>
              <w:color w:val="FFFFFF"/>
              <w:sz w:val="18"/>
              <w:szCs w:val="18"/>
            </w:rPr>
            <w:t>2</w:t>
          </w:r>
          <w:r w:rsidRPr="005353E9">
            <w:rPr>
              <w:rStyle w:val="Nmerodepgina"/>
              <w:rFonts w:ascii="Tahoma" w:hAnsi="Tahoma" w:cs="Tahoma"/>
              <w:b/>
              <w:color w:val="FFFFFF"/>
              <w:sz w:val="18"/>
              <w:szCs w:val="18"/>
            </w:rPr>
            <w:fldChar w:fldCharType="end"/>
          </w:r>
        </w:p>
      </w:tc>
    </w:tr>
  </w:tbl>
  <w:p w:rsidR="00077A3A" w:rsidRPr="00EC3F81" w:rsidRDefault="00077A3A" w:rsidP="00EC3F81">
    <w:pPr>
      <w:pStyle w:val="Piedepgina"/>
      <w:spacing w:line="120" w:lineRule="auto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A" w:rsidRDefault="00077A3A" w:rsidP="00152E5D">
    <w:pPr>
      <w:pStyle w:val="Piedepgina"/>
      <w:tabs>
        <w:tab w:val="clear" w:pos="4252"/>
        <w:tab w:val="clear" w:pos="8504"/>
        <w:tab w:val="center" w:pos="5812"/>
        <w:tab w:val="right" w:pos="8789"/>
      </w:tabs>
      <w:ind w:left="284" w:right="284"/>
      <w:jc w:val="center"/>
      <w:rPr>
        <w:noProof/>
      </w:rPr>
    </w:pPr>
    <w:r>
      <w:rPr>
        <w:noProof/>
      </w:rPr>
      <w:drawing>
        <wp:inline distT="0" distB="0" distL="0" distR="0">
          <wp:extent cx="2876550" cy="1495425"/>
          <wp:effectExtent l="19050" t="0" r="0" b="0"/>
          <wp:docPr id="7" name="16 Imagen" descr="Logo-(direcc-CIF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 Imagen" descr="Logo-(direcc-CIF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971550" cy="1333500"/>
          <wp:effectExtent l="19050" t="0" r="0" b="0"/>
          <wp:docPr id="11" name="Imagen 9" descr="9001_spa_tc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001_spa_tc_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1228725" cy="1333500"/>
          <wp:effectExtent l="19050" t="0" r="9525" b="0"/>
          <wp:docPr id="9" name="0 Imagen" descr="GC_Endorser_BLUE_MUNDIAL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C_Endorser_BLUE_MUNDIAL_E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7A3A" w:rsidRDefault="00077A3A" w:rsidP="00152E5D">
    <w:pPr>
      <w:pStyle w:val="Piedepgina"/>
      <w:ind w:left="284" w:right="284"/>
      <w:rPr>
        <w:noProof/>
      </w:rPr>
    </w:pPr>
  </w:p>
  <w:p w:rsidR="00077A3A" w:rsidRPr="00553D60" w:rsidRDefault="00077A3A" w:rsidP="00152E5D">
    <w:pPr>
      <w:pStyle w:val="Piedepgina"/>
      <w:ind w:left="284" w:right="284"/>
      <w:rPr>
        <w:noProof/>
        <w:color w:val="404040"/>
      </w:rPr>
    </w:pPr>
  </w:p>
  <w:p w:rsidR="00077A3A" w:rsidRPr="00553D60" w:rsidRDefault="00077A3A" w:rsidP="00152E5D">
    <w:pPr>
      <w:pStyle w:val="Piedepgina"/>
      <w:ind w:left="284" w:right="284"/>
      <w:jc w:val="both"/>
      <w:rPr>
        <w:rFonts w:ascii="Century Gothic" w:eastAsia="MS PGothic" w:hAnsi="Century Gothic" w:cs="Tahoma"/>
        <w:color w:val="404040"/>
        <w:spacing w:val="20"/>
        <w:sz w:val="20"/>
        <w:szCs w:val="20"/>
      </w:rPr>
    </w:pPr>
    <w:r w:rsidRPr="00553D60">
      <w:rPr>
        <w:rFonts w:ascii="Century Gothic" w:eastAsia="MS PGothic" w:hAnsi="Century Gothic" w:cs="Tahoma"/>
        <w:color w:val="404040"/>
        <w:spacing w:val="20"/>
        <w:sz w:val="20"/>
        <w:szCs w:val="20"/>
      </w:rPr>
      <w:t xml:space="preserve">Empresa adherida al código deontológico internacional </w:t>
    </w:r>
    <w:r w:rsidRPr="00553D60">
      <w:rPr>
        <w:rFonts w:ascii="Century Gothic" w:eastAsia="MS PGothic" w:hAnsi="Century Gothic" w:cs="Tahoma"/>
        <w:b/>
        <w:color w:val="404040"/>
        <w:spacing w:val="20"/>
        <w:sz w:val="20"/>
        <w:szCs w:val="20"/>
        <w:u w:val="single"/>
      </w:rPr>
      <w:t>ICC/ESOMAR</w:t>
    </w:r>
    <w:r w:rsidRPr="00553D60">
      <w:rPr>
        <w:rFonts w:ascii="Century Gothic" w:eastAsia="MS PGothic" w:hAnsi="Century Gothic" w:cs="Tahoma"/>
        <w:color w:val="404040"/>
        <w:spacing w:val="20"/>
        <w:sz w:val="20"/>
        <w:szCs w:val="20"/>
      </w:rPr>
      <w:t xml:space="preserve"> para la práctica de la investigación social y de mercados.</w:t>
    </w:r>
  </w:p>
  <w:p w:rsidR="00077A3A" w:rsidRPr="00553D60" w:rsidRDefault="00077A3A" w:rsidP="00152E5D">
    <w:pPr>
      <w:pStyle w:val="Piedepgina"/>
      <w:ind w:left="284" w:right="284"/>
      <w:jc w:val="both"/>
      <w:rPr>
        <w:rFonts w:ascii="Century Gothic" w:eastAsia="MS PGothic" w:hAnsi="Century Gothic" w:cs="Tahoma"/>
        <w:color w:val="404040"/>
        <w:spacing w:val="20"/>
        <w:sz w:val="20"/>
        <w:szCs w:val="20"/>
      </w:rPr>
    </w:pPr>
  </w:p>
  <w:p w:rsidR="00077A3A" w:rsidRPr="00553D60" w:rsidRDefault="00077A3A" w:rsidP="00152E5D">
    <w:pPr>
      <w:pStyle w:val="Piedepgina"/>
      <w:ind w:left="284" w:right="284"/>
      <w:jc w:val="both"/>
      <w:rPr>
        <w:rFonts w:ascii="Century Gothic" w:eastAsia="MS PGothic" w:hAnsi="Century Gothic" w:cs="Tahoma"/>
        <w:color w:val="404040"/>
        <w:spacing w:val="20"/>
        <w:sz w:val="20"/>
        <w:szCs w:val="20"/>
      </w:rPr>
    </w:pPr>
    <w:r w:rsidRPr="00553D60">
      <w:rPr>
        <w:rFonts w:ascii="Century Gothic" w:eastAsia="MS PGothic" w:hAnsi="Century Gothic" w:cs="Tahoma"/>
        <w:color w:val="404040"/>
        <w:spacing w:val="20"/>
        <w:sz w:val="20"/>
        <w:szCs w:val="20"/>
      </w:rPr>
      <w:t xml:space="preserve">Como empresa socialmente responsable ha suscrito e implantado en su actividad los Diez Principios del </w:t>
    </w:r>
    <w:r w:rsidRPr="00553D60">
      <w:rPr>
        <w:rFonts w:ascii="Century Gothic" w:eastAsia="MS PGothic" w:hAnsi="Century Gothic" w:cs="Tahoma"/>
        <w:b/>
        <w:color w:val="404040"/>
        <w:spacing w:val="20"/>
        <w:sz w:val="20"/>
        <w:szCs w:val="20"/>
        <w:u w:val="single"/>
      </w:rPr>
      <w:t>Pacto Mundial</w:t>
    </w:r>
    <w:r w:rsidRPr="00553D60">
      <w:rPr>
        <w:rFonts w:ascii="Century Gothic" w:eastAsia="MS PGothic" w:hAnsi="Century Gothic" w:cs="Tahoma"/>
        <w:color w:val="404040"/>
        <w:spacing w:val="20"/>
        <w:sz w:val="20"/>
        <w:szCs w:val="20"/>
      </w:rPr>
      <w:t xml:space="preserve"> de las Naciones Unidas, publicando la correspondiente memora de progreso.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68" w:rsidRDefault="001D3568">
      <w:r>
        <w:separator/>
      </w:r>
    </w:p>
  </w:footnote>
  <w:footnote w:type="continuationSeparator" w:id="1">
    <w:p w:rsidR="001D3568" w:rsidRDefault="001D3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82"/>
      <w:gridCol w:w="7104"/>
    </w:tblGrid>
    <w:tr w:rsidR="00077A3A" w:rsidRPr="005353E9" w:rsidTr="005353E9">
      <w:tc>
        <w:tcPr>
          <w:tcW w:w="1707" w:type="dxa"/>
          <w:tcBorders>
            <w:top w:val="nil"/>
            <w:left w:val="nil"/>
            <w:bottom w:val="nil"/>
            <w:right w:val="nil"/>
          </w:tcBorders>
          <w:shd w:val="clear" w:color="auto" w:fill="FF6141"/>
          <w:vAlign w:val="center"/>
        </w:tcPr>
        <w:p w:rsidR="00077A3A" w:rsidRPr="005353E9" w:rsidRDefault="00077A3A" w:rsidP="005353E9">
          <w:pPr>
            <w:pStyle w:val="Encabezado"/>
            <w:spacing w:before="80" w:after="80"/>
            <w:ind w:left="87"/>
            <w:rPr>
              <w:rFonts w:ascii="Century Gothic" w:hAnsi="Century Gothic"/>
              <w:color w:val="FFFFFF"/>
              <w:sz w:val="18"/>
              <w:szCs w:val="18"/>
            </w:rPr>
          </w:pPr>
          <w:r w:rsidRPr="005353E9">
            <w:rPr>
              <w:rFonts w:ascii="Century Gothic" w:hAnsi="Century Gothic"/>
              <w:color w:val="FFFFFF"/>
              <w:sz w:val="18"/>
              <w:szCs w:val="18"/>
            </w:rPr>
            <w:t>Simple Lógica</w:t>
          </w:r>
        </w:p>
      </w:tc>
      <w:tc>
        <w:tcPr>
          <w:tcW w:w="8121" w:type="dxa"/>
          <w:tcBorders>
            <w:top w:val="nil"/>
            <w:left w:val="nil"/>
            <w:bottom w:val="nil"/>
            <w:right w:val="nil"/>
          </w:tcBorders>
          <w:shd w:val="clear" w:color="auto" w:fill="C0C0C0"/>
          <w:vAlign w:val="center"/>
        </w:tcPr>
        <w:p w:rsidR="00077A3A" w:rsidRPr="005353E9" w:rsidRDefault="00077A3A" w:rsidP="005353E9">
          <w:pPr>
            <w:pStyle w:val="Encabezado"/>
            <w:spacing w:before="80" w:after="80"/>
            <w:ind w:right="61"/>
            <w:jc w:val="right"/>
            <w:rPr>
              <w:rFonts w:ascii="Tahoma" w:hAnsi="Tahoma" w:cs="Tahoma"/>
              <w:b/>
              <w:bCs/>
              <w:color w:val="595959"/>
              <w:sz w:val="18"/>
            </w:rPr>
          </w:pPr>
          <w:r w:rsidRPr="005353E9">
            <w:rPr>
              <w:rFonts w:ascii="Tahoma" w:hAnsi="Tahoma" w:cs="Tahoma"/>
              <w:b/>
              <w:bCs/>
              <w:color w:val="595959"/>
              <w:sz w:val="18"/>
            </w:rPr>
            <w:t xml:space="preserve">I.O.P.   </w:t>
          </w:r>
          <w:r w:rsidRPr="005353E9">
            <w:rPr>
              <w:rFonts w:ascii="Tahoma" w:hAnsi="Tahoma" w:cs="Tahoma"/>
              <w:b/>
              <w:bCs/>
              <w:color w:val="FFFFFF"/>
              <w:sz w:val="18"/>
            </w:rPr>
            <w:t>MADRUGAR Y TRASNOCHAR</w:t>
          </w:r>
        </w:p>
      </w:tc>
    </w:tr>
  </w:tbl>
  <w:p w:rsidR="00077A3A" w:rsidRPr="00484665" w:rsidRDefault="00077A3A" w:rsidP="00427DF6">
    <w:pPr>
      <w:pStyle w:val="Encabezado"/>
      <w:ind w:left="-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06"/>
      <w:gridCol w:w="8114"/>
    </w:tblGrid>
    <w:tr w:rsidR="00077A3A" w:rsidRPr="005353E9" w:rsidTr="005353E9">
      <w:tc>
        <w:tcPr>
          <w:tcW w:w="1707" w:type="dxa"/>
          <w:tcBorders>
            <w:top w:val="nil"/>
            <w:left w:val="nil"/>
            <w:bottom w:val="nil"/>
            <w:right w:val="nil"/>
          </w:tcBorders>
          <w:shd w:val="clear" w:color="auto" w:fill="FF6141"/>
          <w:vAlign w:val="center"/>
        </w:tcPr>
        <w:p w:rsidR="00077A3A" w:rsidRPr="005353E9" w:rsidRDefault="00077A3A" w:rsidP="005353E9">
          <w:pPr>
            <w:pStyle w:val="Encabezado"/>
            <w:spacing w:before="80" w:after="80"/>
            <w:ind w:left="87"/>
            <w:rPr>
              <w:rFonts w:ascii="Century Gothic" w:hAnsi="Century Gothic"/>
              <w:color w:val="FFFFFF"/>
              <w:sz w:val="18"/>
              <w:szCs w:val="18"/>
            </w:rPr>
          </w:pPr>
          <w:r w:rsidRPr="005353E9">
            <w:rPr>
              <w:rFonts w:ascii="Century Gothic" w:hAnsi="Century Gothic"/>
              <w:color w:val="FFFFFF"/>
              <w:sz w:val="18"/>
              <w:szCs w:val="18"/>
            </w:rPr>
            <w:t>Simple Lógica</w:t>
          </w:r>
        </w:p>
      </w:tc>
      <w:tc>
        <w:tcPr>
          <w:tcW w:w="8121" w:type="dxa"/>
          <w:tcBorders>
            <w:top w:val="nil"/>
            <w:left w:val="nil"/>
            <w:bottom w:val="nil"/>
            <w:right w:val="nil"/>
          </w:tcBorders>
          <w:shd w:val="clear" w:color="auto" w:fill="C0C0C0"/>
          <w:vAlign w:val="center"/>
        </w:tcPr>
        <w:p w:rsidR="00077A3A" w:rsidRPr="005353E9" w:rsidRDefault="00077A3A" w:rsidP="00AC7700">
          <w:pPr>
            <w:pStyle w:val="Encabezado"/>
            <w:spacing w:before="80" w:after="80"/>
            <w:ind w:right="61"/>
            <w:jc w:val="right"/>
            <w:rPr>
              <w:rFonts w:ascii="Tahoma" w:hAnsi="Tahoma" w:cs="Tahoma"/>
              <w:b/>
              <w:bCs/>
              <w:color w:val="595959"/>
              <w:sz w:val="18"/>
            </w:rPr>
          </w:pPr>
          <w:r w:rsidRPr="005353E9">
            <w:rPr>
              <w:rFonts w:ascii="Tahoma" w:hAnsi="Tahoma" w:cs="Tahoma"/>
              <w:b/>
              <w:bCs/>
              <w:color w:val="595959"/>
              <w:sz w:val="18"/>
            </w:rPr>
            <w:t xml:space="preserve">I.O.P.  </w:t>
          </w:r>
          <w:r>
            <w:rPr>
              <w:rFonts w:ascii="Tahoma" w:hAnsi="Tahoma" w:cs="Tahoma"/>
              <w:b/>
              <w:bCs/>
              <w:color w:val="FFFFFF"/>
              <w:sz w:val="18"/>
            </w:rPr>
            <w:t>Situación financiera y ahorro</w:t>
          </w:r>
          <w:r w:rsidR="00AA7A13">
            <w:rPr>
              <w:rFonts w:ascii="Tahoma" w:hAnsi="Tahoma" w:cs="Tahoma"/>
              <w:b/>
              <w:bCs/>
              <w:color w:val="FFFFFF"/>
              <w:sz w:val="18"/>
            </w:rPr>
            <w:t xml:space="preserve"> en los hogares</w:t>
          </w:r>
        </w:p>
      </w:tc>
    </w:tr>
  </w:tbl>
  <w:p w:rsidR="00077A3A" w:rsidRPr="00484665" w:rsidRDefault="00077A3A" w:rsidP="00427DF6">
    <w:pPr>
      <w:pStyle w:val="Encabezado"/>
      <w:ind w:left="-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06"/>
      <w:gridCol w:w="8114"/>
    </w:tblGrid>
    <w:tr w:rsidR="00077A3A" w:rsidRPr="005353E9" w:rsidTr="005353E9">
      <w:tc>
        <w:tcPr>
          <w:tcW w:w="1707" w:type="dxa"/>
          <w:tcBorders>
            <w:top w:val="nil"/>
            <w:left w:val="nil"/>
            <w:bottom w:val="nil"/>
            <w:right w:val="nil"/>
          </w:tcBorders>
          <w:shd w:val="clear" w:color="auto" w:fill="FF6141"/>
          <w:vAlign w:val="center"/>
        </w:tcPr>
        <w:p w:rsidR="00077A3A" w:rsidRPr="005353E9" w:rsidRDefault="00077A3A" w:rsidP="005353E9">
          <w:pPr>
            <w:pStyle w:val="Encabezado"/>
            <w:spacing w:before="80" w:after="80"/>
            <w:ind w:left="87"/>
            <w:rPr>
              <w:rFonts w:ascii="Century Gothic" w:hAnsi="Century Gothic"/>
              <w:color w:val="FFFFFF"/>
              <w:sz w:val="18"/>
              <w:szCs w:val="18"/>
            </w:rPr>
          </w:pPr>
          <w:r w:rsidRPr="005353E9">
            <w:rPr>
              <w:rFonts w:ascii="Century Gothic" w:hAnsi="Century Gothic"/>
              <w:color w:val="FFFFFF"/>
              <w:sz w:val="18"/>
              <w:szCs w:val="18"/>
            </w:rPr>
            <w:t>Simple Lógica</w:t>
          </w:r>
        </w:p>
      </w:tc>
      <w:tc>
        <w:tcPr>
          <w:tcW w:w="8121" w:type="dxa"/>
          <w:tcBorders>
            <w:top w:val="nil"/>
            <w:left w:val="nil"/>
            <w:bottom w:val="nil"/>
            <w:right w:val="nil"/>
          </w:tcBorders>
          <w:shd w:val="clear" w:color="auto" w:fill="C0C0C0"/>
          <w:vAlign w:val="center"/>
        </w:tcPr>
        <w:p w:rsidR="00077A3A" w:rsidRPr="005353E9" w:rsidRDefault="00077A3A" w:rsidP="005353E9">
          <w:pPr>
            <w:pStyle w:val="Encabezado"/>
            <w:spacing w:before="80" w:after="80"/>
            <w:ind w:right="61"/>
            <w:jc w:val="right"/>
            <w:rPr>
              <w:rFonts w:ascii="Tahoma" w:hAnsi="Tahoma" w:cs="Tahoma"/>
              <w:b/>
              <w:bCs/>
              <w:color w:val="595959"/>
              <w:sz w:val="18"/>
            </w:rPr>
          </w:pPr>
          <w:r w:rsidRPr="005353E9">
            <w:rPr>
              <w:rFonts w:ascii="Tahoma" w:hAnsi="Tahoma" w:cs="Tahoma"/>
              <w:b/>
              <w:bCs/>
              <w:color w:val="595959"/>
              <w:sz w:val="18"/>
            </w:rPr>
            <w:t xml:space="preserve">I.O.P.   </w:t>
          </w:r>
          <w:r w:rsidRPr="005353E9">
            <w:rPr>
              <w:rFonts w:ascii="Tahoma" w:hAnsi="Tahoma" w:cs="Tahoma"/>
              <w:b/>
              <w:bCs/>
              <w:color w:val="FFFFFF"/>
              <w:sz w:val="18"/>
            </w:rPr>
            <w:t>IMPUESTOS</w:t>
          </w:r>
        </w:p>
      </w:tc>
    </w:tr>
  </w:tbl>
  <w:p w:rsidR="00077A3A" w:rsidRPr="00484665" w:rsidRDefault="00077A3A" w:rsidP="00E01148">
    <w:pPr>
      <w:pStyle w:val="Encabezado"/>
      <w:ind w:left="-18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A" w:rsidRPr="00A8278C" w:rsidRDefault="00077A3A" w:rsidP="00A827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A07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F68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FA3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46B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1A7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6267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EC9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C4C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B4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B8B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60AE4"/>
    <w:multiLevelType w:val="hybridMultilevel"/>
    <w:tmpl w:val="E1B6B7B2"/>
    <w:lvl w:ilvl="0" w:tplc="BA0CEC9A">
      <w:start w:val="1"/>
      <w:numFmt w:val="bullet"/>
      <w:pStyle w:val="Esquemarojo"/>
      <w:lvlText w:val=""/>
      <w:lvlJc w:val="left"/>
      <w:pPr>
        <w:ind w:left="1065" w:hanging="705"/>
      </w:pPr>
      <w:rPr>
        <w:rFonts w:ascii="Symbol" w:hAnsi="Symbol" w:hint="default"/>
        <w:color w:val="auto"/>
        <w:sz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A3393"/>
    <w:multiLevelType w:val="singleLevel"/>
    <w:tmpl w:val="5D944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35E26D18"/>
    <w:multiLevelType w:val="hybridMultilevel"/>
    <w:tmpl w:val="C9EE4CD4"/>
    <w:lvl w:ilvl="0" w:tplc="7A52409A">
      <w:start w:val="1"/>
      <w:numFmt w:val="bullet"/>
      <w:pStyle w:val="Adentrado1conpuntonaranja"/>
      <w:lvlText w:val=""/>
      <w:lvlJc w:val="left"/>
      <w:pPr>
        <w:tabs>
          <w:tab w:val="num" w:pos="757"/>
        </w:tabs>
        <w:ind w:left="681" w:hanging="284"/>
      </w:pPr>
      <w:rPr>
        <w:rFonts w:ascii="Symbol" w:hAnsi="Symbol" w:hint="default"/>
        <w:b w:val="0"/>
        <w:i w:val="0"/>
        <w:color w:val="FF614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D6649"/>
    <w:multiLevelType w:val="hybridMultilevel"/>
    <w:tmpl w:val="963CFDCA"/>
    <w:lvl w:ilvl="0" w:tplc="FEF23852">
      <w:start w:val="1"/>
      <w:numFmt w:val="bullet"/>
      <w:pStyle w:val="Puntonaranja"/>
      <w:lvlText w:val=""/>
      <w:lvlJc w:val="left"/>
      <w:pPr>
        <w:tabs>
          <w:tab w:val="num" w:pos="606"/>
        </w:tabs>
        <w:ind w:left="607" w:hanging="284"/>
      </w:pPr>
      <w:rPr>
        <w:rFonts w:ascii="Symbol" w:hAnsi="Symbol" w:hint="default"/>
        <w:b w:val="0"/>
        <w:i w:val="0"/>
        <w:color w:val="FF6141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4">
    <w:nsid w:val="4FAA7D9E"/>
    <w:multiLevelType w:val="hybridMultilevel"/>
    <w:tmpl w:val="D1206576"/>
    <w:lvl w:ilvl="0" w:tplc="0072817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F42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4"/>
  </w:num>
  <w:num w:numId="18">
    <w:abstractNumId w:val="11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hdrShapeDefaults>
    <o:shapedefaults v:ext="edit" spidmax="52226">
      <o:colormru v:ext="edit" colors="#ff6141"/>
    </o:shapedefaults>
  </w:hdrShapeDefaults>
  <w:footnotePr>
    <w:footnote w:id="0"/>
    <w:footnote w:id="1"/>
  </w:footnotePr>
  <w:endnotePr>
    <w:endnote w:id="0"/>
    <w:endnote w:id="1"/>
  </w:endnotePr>
  <w:compat/>
  <w:rsids>
    <w:rsidRoot w:val="00A53D94"/>
    <w:rsid w:val="0000044D"/>
    <w:rsid w:val="000048DC"/>
    <w:rsid w:val="000140F4"/>
    <w:rsid w:val="000145BE"/>
    <w:rsid w:val="00022510"/>
    <w:rsid w:val="000236B1"/>
    <w:rsid w:val="00044244"/>
    <w:rsid w:val="0005627E"/>
    <w:rsid w:val="00056C19"/>
    <w:rsid w:val="000573EE"/>
    <w:rsid w:val="000678A7"/>
    <w:rsid w:val="00077A3A"/>
    <w:rsid w:val="00083BA3"/>
    <w:rsid w:val="0009013F"/>
    <w:rsid w:val="0009503D"/>
    <w:rsid w:val="000A6CF1"/>
    <w:rsid w:val="000A6F3D"/>
    <w:rsid w:val="000A7BDA"/>
    <w:rsid w:val="000B7584"/>
    <w:rsid w:val="000C3FFD"/>
    <w:rsid w:val="000C73ED"/>
    <w:rsid w:val="00106312"/>
    <w:rsid w:val="00114A62"/>
    <w:rsid w:val="001308D9"/>
    <w:rsid w:val="001348E4"/>
    <w:rsid w:val="00137532"/>
    <w:rsid w:val="00141782"/>
    <w:rsid w:val="00152E5D"/>
    <w:rsid w:val="00161811"/>
    <w:rsid w:val="001779FC"/>
    <w:rsid w:val="00181AEF"/>
    <w:rsid w:val="00181C14"/>
    <w:rsid w:val="00187125"/>
    <w:rsid w:val="001876C9"/>
    <w:rsid w:val="00191F20"/>
    <w:rsid w:val="0019787F"/>
    <w:rsid w:val="001A1A5E"/>
    <w:rsid w:val="001B71F6"/>
    <w:rsid w:val="001C0FCA"/>
    <w:rsid w:val="001C5151"/>
    <w:rsid w:val="001D3568"/>
    <w:rsid w:val="001D3C84"/>
    <w:rsid w:val="001D7AA8"/>
    <w:rsid w:val="001F6668"/>
    <w:rsid w:val="001F6797"/>
    <w:rsid w:val="00214758"/>
    <w:rsid w:val="002148D0"/>
    <w:rsid w:val="002179F5"/>
    <w:rsid w:val="00220D7D"/>
    <w:rsid w:val="0023127F"/>
    <w:rsid w:val="00231ADA"/>
    <w:rsid w:val="0024062D"/>
    <w:rsid w:val="00282AE3"/>
    <w:rsid w:val="00294F6D"/>
    <w:rsid w:val="002B3251"/>
    <w:rsid w:val="002B3C08"/>
    <w:rsid w:val="002B64DF"/>
    <w:rsid w:val="002B7F56"/>
    <w:rsid w:val="002C34C6"/>
    <w:rsid w:val="002D7822"/>
    <w:rsid w:val="002E2171"/>
    <w:rsid w:val="002E2B5F"/>
    <w:rsid w:val="002F7B2E"/>
    <w:rsid w:val="003039FC"/>
    <w:rsid w:val="00311A29"/>
    <w:rsid w:val="00311B45"/>
    <w:rsid w:val="00313AB3"/>
    <w:rsid w:val="00315B1E"/>
    <w:rsid w:val="00320784"/>
    <w:rsid w:val="00321412"/>
    <w:rsid w:val="00323BC7"/>
    <w:rsid w:val="003354A7"/>
    <w:rsid w:val="00346602"/>
    <w:rsid w:val="003600AB"/>
    <w:rsid w:val="00364E08"/>
    <w:rsid w:val="003668F2"/>
    <w:rsid w:val="00371D09"/>
    <w:rsid w:val="00376ACB"/>
    <w:rsid w:val="00396C74"/>
    <w:rsid w:val="003A06EE"/>
    <w:rsid w:val="003A4973"/>
    <w:rsid w:val="003C1E6F"/>
    <w:rsid w:val="003C5511"/>
    <w:rsid w:val="003D08FD"/>
    <w:rsid w:val="003D6CA2"/>
    <w:rsid w:val="003E2291"/>
    <w:rsid w:val="003E2D89"/>
    <w:rsid w:val="003E508A"/>
    <w:rsid w:val="003F0018"/>
    <w:rsid w:val="00401C86"/>
    <w:rsid w:val="00403B61"/>
    <w:rsid w:val="00407EEC"/>
    <w:rsid w:val="00422310"/>
    <w:rsid w:val="00427DF6"/>
    <w:rsid w:val="00431756"/>
    <w:rsid w:val="00444D08"/>
    <w:rsid w:val="00445848"/>
    <w:rsid w:val="00451198"/>
    <w:rsid w:val="004670D4"/>
    <w:rsid w:val="00473F20"/>
    <w:rsid w:val="00483C8E"/>
    <w:rsid w:val="00484665"/>
    <w:rsid w:val="004A121E"/>
    <w:rsid w:val="004A3ABF"/>
    <w:rsid w:val="004A72D9"/>
    <w:rsid w:val="004B4DE2"/>
    <w:rsid w:val="004B60B8"/>
    <w:rsid w:val="004C12B5"/>
    <w:rsid w:val="004C21ED"/>
    <w:rsid w:val="004C618F"/>
    <w:rsid w:val="004C6774"/>
    <w:rsid w:val="004D196D"/>
    <w:rsid w:val="004D79D3"/>
    <w:rsid w:val="004E1E07"/>
    <w:rsid w:val="004E3F95"/>
    <w:rsid w:val="004E4B38"/>
    <w:rsid w:val="004F2788"/>
    <w:rsid w:val="00501B97"/>
    <w:rsid w:val="005024B1"/>
    <w:rsid w:val="005028AC"/>
    <w:rsid w:val="00515243"/>
    <w:rsid w:val="00516C46"/>
    <w:rsid w:val="005311F5"/>
    <w:rsid w:val="00532DFB"/>
    <w:rsid w:val="005353E9"/>
    <w:rsid w:val="00541E1F"/>
    <w:rsid w:val="00553D60"/>
    <w:rsid w:val="005565C6"/>
    <w:rsid w:val="0056348E"/>
    <w:rsid w:val="00582B77"/>
    <w:rsid w:val="0059081F"/>
    <w:rsid w:val="005B319A"/>
    <w:rsid w:val="005C0141"/>
    <w:rsid w:val="005D1730"/>
    <w:rsid w:val="00607F19"/>
    <w:rsid w:val="00623B71"/>
    <w:rsid w:val="006268A4"/>
    <w:rsid w:val="00634B33"/>
    <w:rsid w:val="00635BAD"/>
    <w:rsid w:val="00636AAF"/>
    <w:rsid w:val="006422A4"/>
    <w:rsid w:val="006423CF"/>
    <w:rsid w:val="00643AB5"/>
    <w:rsid w:val="00644151"/>
    <w:rsid w:val="00650C6E"/>
    <w:rsid w:val="00662279"/>
    <w:rsid w:val="00665089"/>
    <w:rsid w:val="00677D4A"/>
    <w:rsid w:val="00697C93"/>
    <w:rsid w:val="006A2248"/>
    <w:rsid w:val="006B29C5"/>
    <w:rsid w:val="006B4926"/>
    <w:rsid w:val="006C509E"/>
    <w:rsid w:val="006D0F0B"/>
    <w:rsid w:val="006D341B"/>
    <w:rsid w:val="006E09F0"/>
    <w:rsid w:val="006E67AE"/>
    <w:rsid w:val="006F42CA"/>
    <w:rsid w:val="006F5A77"/>
    <w:rsid w:val="007075D9"/>
    <w:rsid w:val="0071022B"/>
    <w:rsid w:val="00712480"/>
    <w:rsid w:val="00714A5B"/>
    <w:rsid w:val="00717622"/>
    <w:rsid w:val="00721536"/>
    <w:rsid w:val="00723B11"/>
    <w:rsid w:val="007277BD"/>
    <w:rsid w:val="00730993"/>
    <w:rsid w:val="00731234"/>
    <w:rsid w:val="00735443"/>
    <w:rsid w:val="007373FA"/>
    <w:rsid w:val="00742317"/>
    <w:rsid w:val="00751F2E"/>
    <w:rsid w:val="00760807"/>
    <w:rsid w:val="00760828"/>
    <w:rsid w:val="00766983"/>
    <w:rsid w:val="00770231"/>
    <w:rsid w:val="00774675"/>
    <w:rsid w:val="00780782"/>
    <w:rsid w:val="007823CD"/>
    <w:rsid w:val="007A0158"/>
    <w:rsid w:val="007A06DC"/>
    <w:rsid w:val="007A171C"/>
    <w:rsid w:val="007B2491"/>
    <w:rsid w:val="007D11B4"/>
    <w:rsid w:val="007D4FA1"/>
    <w:rsid w:val="007D6133"/>
    <w:rsid w:val="007F12C1"/>
    <w:rsid w:val="00803CC4"/>
    <w:rsid w:val="00804FD9"/>
    <w:rsid w:val="008058AF"/>
    <w:rsid w:val="008070BB"/>
    <w:rsid w:val="0081143A"/>
    <w:rsid w:val="00813425"/>
    <w:rsid w:val="00817F2A"/>
    <w:rsid w:val="00822691"/>
    <w:rsid w:val="0082769E"/>
    <w:rsid w:val="008433B1"/>
    <w:rsid w:val="0084606A"/>
    <w:rsid w:val="00850D46"/>
    <w:rsid w:val="00852B07"/>
    <w:rsid w:val="008622E6"/>
    <w:rsid w:val="00866B4B"/>
    <w:rsid w:val="00866F36"/>
    <w:rsid w:val="0086727A"/>
    <w:rsid w:val="008768F5"/>
    <w:rsid w:val="00881A23"/>
    <w:rsid w:val="00883A82"/>
    <w:rsid w:val="00887BF1"/>
    <w:rsid w:val="00891000"/>
    <w:rsid w:val="0089390A"/>
    <w:rsid w:val="00895B12"/>
    <w:rsid w:val="008B02E3"/>
    <w:rsid w:val="008B6B22"/>
    <w:rsid w:val="008C4234"/>
    <w:rsid w:val="008C58A3"/>
    <w:rsid w:val="008C681B"/>
    <w:rsid w:val="008D2B07"/>
    <w:rsid w:val="008D3510"/>
    <w:rsid w:val="008E0A80"/>
    <w:rsid w:val="008E3FFF"/>
    <w:rsid w:val="008E7563"/>
    <w:rsid w:val="008F2272"/>
    <w:rsid w:val="00912569"/>
    <w:rsid w:val="00912F87"/>
    <w:rsid w:val="00920E23"/>
    <w:rsid w:val="00925039"/>
    <w:rsid w:val="0093597A"/>
    <w:rsid w:val="00941DEA"/>
    <w:rsid w:val="00945D4D"/>
    <w:rsid w:val="0096190B"/>
    <w:rsid w:val="00964B5E"/>
    <w:rsid w:val="00965232"/>
    <w:rsid w:val="00965EE3"/>
    <w:rsid w:val="00980D50"/>
    <w:rsid w:val="00982C62"/>
    <w:rsid w:val="00987315"/>
    <w:rsid w:val="009926B8"/>
    <w:rsid w:val="00994CA1"/>
    <w:rsid w:val="00997FD3"/>
    <w:rsid w:val="009A7121"/>
    <w:rsid w:val="009C570E"/>
    <w:rsid w:val="009E1685"/>
    <w:rsid w:val="009E4B42"/>
    <w:rsid w:val="009F4C74"/>
    <w:rsid w:val="009F57AC"/>
    <w:rsid w:val="00A37436"/>
    <w:rsid w:val="00A44478"/>
    <w:rsid w:val="00A45301"/>
    <w:rsid w:val="00A45BBA"/>
    <w:rsid w:val="00A53D94"/>
    <w:rsid w:val="00A57F93"/>
    <w:rsid w:val="00A60421"/>
    <w:rsid w:val="00A61595"/>
    <w:rsid w:val="00A6570B"/>
    <w:rsid w:val="00A671E3"/>
    <w:rsid w:val="00A7302B"/>
    <w:rsid w:val="00A73FF0"/>
    <w:rsid w:val="00A74936"/>
    <w:rsid w:val="00A80C0C"/>
    <w:rsid w:val="00A8278C"/>
    <w:rsid w:val="00A8747E"/>
    <w:rsid w:val="00A916D1"/>
    <w:rsid w:val="00A95AA2"/>
    <w:rsid w:val="00A97B91"/>
    <w:rsid w:val="00AA26D7"/>
    <w:rsid w:val="00AA5B46"/>
    <w:rsid w:val="00AA6CD1"/>
    <w:rsid w:val="00AA7A13"/>
    <w:rsid w:val="00AB7F2C"/>
    <w:rsid w:val="00AC34B1"/>
    <w:rsid w:val="00AC5128"/>
    <w:rsid w:val="00AC73AB"/>
    <w:rsid w:val="00AC7700"/>
    <w:rsid w:val="00AC77B8"/>
    <w:rsid w:val="00AD24AF"/>
    <w:rsid w:val="00AD6B50"/>
    <w:rsid w:val="00AE0BA4"/>
    <w:rsid w:val="00AE11E5"/>
    <w:rsid w:val="00AF1132"/>
    <w:rsid w:val="00AF3273"/>
    <w:rsid w:val="00AF37D5"/>
    <w:rsid w:val="00B00BAE"/>
    <w:rsid w:val="00B129D5"/>
    <w:rsid w:val="00B1325A"/>
    <w:rsid w:val="00B17B90"/>
    <w:rsid w:val="00B21215"/>
    <w:rsid w:val="00B24A4B"/>
    <w:rsid w:val="00B42759"/>
    <w:rsid w:val="00B51B7D"/>
    <w:rsid w:val="00B528B8"/>
    <w:rsid w:val="00B60A16"/>
    <w:rsid w:val="00B616BC"/>
    <w:rsid w:val="00B621B8"/>
    <w:rsid w:val="00B81ADB"/>
    <w:rsid w:val="00B83F8F"/>
    <w:rsid w:val="00B95A68"/>
    <w:rsid w:val="00BA6068"/>
    <w:rsid w:val="00BA7C7E"/>
    <w:rsid w:val="00BD12E9"/>
    <w:rsid w:val="00BD3808"/>
    <w:rsid w:val="00BD5C11"/>
    <w:rsid w:val="00BE30DF"/>
    <w:rsid w:val="00C04585"/>
    <w:rsid w:val="00C0699B"/>
    <w:rsid w:val="00C071D5"/>
    <w:rsid w:val="00C31B0A"/>
    <w:rsid w:val="00C3348D"/>
    <w:rsid w:val="00C40098"/>
    <w:rsid w:val="00C42655"/>
    <w:rsid w:val="00C62CD8"/>
    <w:rsid w:val="00C93B14"/>
    <w:rsid w:val="00CA570A"/>
    <w:rsid w:val="00CA59AA"/>
    <w:rsid w:val="00CB333A"/>
    <w:rsid w:val="00CC040C"/>
    <w:rsid w:val="00CC3F05"/>
    <w:rsid w:val="00CD37CB"/>
    <w:rsid w:val="00CD53BC"/>
    <w:rsid w:val="00CE37EF"/>
    <w:rsid w:val="00CE68B6"/>
    <w:rsid w:val="00CF17DD"/>
    <w:rsid w:val="00CF7215"/>
    <w:rsid w:val="00D008C8"/>
    <w:rsid w:val="00D01E70"/>
    <w:rsid w:val="00D12B60"/>
    <w:rsid w:val="00D12E1E"/>
    <w:rsid w:val="00D13B77"/>
    <w:rsid w:val="00D15EFF"/>
    <w:rsid w:val="00D178CA"/>
    <w:rsid w:val="00D20FF6"/>
    <w:rsid w:val="00D42433"/>
    <w:rsid w:val="00D429AA"/>
    <w:rsid w:val="00D42CCB"/>
    <w:rsid w:val="00D53B78"/>
    <w:rsid w:val="00D5484F"/>
    <w:rsid w:val="00D5777A"/>
    <w:rsid w:val="00D61F90"/>
    <w:rsid w:val="00D66C26"/>
    <w:rsid w:val="00D72646"/>
    <w:rsid w:val="00D9616D"/>
    <w:rsid w:val="00DA6555"/>
    <w:rsid w:val="00DB0584"/>
    <w:rsid w:val="00DB2ED4"/>
    <w:rsid w:val="00DB412F"/>
    <w:rsid w:val="00DB4F28"/>
    <w:rsid w:val="00DC287E"/>
    <w:rsid w:val="00DD74AF"/>
    <w:rsid w:val="00DE59BE"/>
    <w:rsid w:val="00DE6F48"/>
    <w:rsid w:val="00E0078E"/>
    <w:rsid w:val="00E01148"/>
    <w:rsid w:val="00E0505D"/>
    <w:rsid w:val="00E20C4D"/>
    <w:rsid w:val="00E30AB0"/>
    <w:rsid w:val="00E332B2"/>
    <w:rsid w:val="00E354C3"/>
    <w:rsid w:val="00E362AF"/>
    <w:rsid w:val="00E37FD0"/>
    <w:rsid w:val="00E46A3E"/>
    <w:rsid w:val="00E61600"/>
    <w:rsid w:val="00E61A67"/>
    <w:rsid w:val="00E62481"/>
    <w:rsid w:val="00E63926"/>
    <w:rsid w:val="00E70429"/>
    <w:rsid w:val="00E71287"/>
    <w:rsid w:val="00E7510E"/>
    <w:rsid w:val="00E930B1"/>
    <w:rsid w:val="00EA4523"/>
    <w:rsid w:val="00EA4CE3"/>
    <w:rsid w:val="00EB0D20"/>
    <w:rsid w:val="00EB3F3D"/>
    <w:rsid w:val="00EC3F81"/>
    <w:rsid w:val="00ED58BF"/>
    <w:rsid w:val="00EE0851"/>
    <w:rsid w:val="00F017C4"/>
    <w:rsid w:val="00F0485E"/>
    <w:rsid w:val="00F13F56"/>
    <w:rsid w:val="00F163C2"/>
    <w:rsid w:val="00F3010A"/>
    <w:rsid w:val="00F3201C"/>
    <w:rsid w:val="00F46203"/>
    <w:rsid w:val="00F51F59"/>
    <w:rsid w:val="00F52A30"/>
    <w:rsid w:val="00F53624"/>
    <w:rsid w:val="00F53806"/>
    <w:rsid w:val="00F57CAC"/>
    <w:rsid w:val="00F602A2"/>
    <w:rsid w:val="00F64DE3"/>
    <w:rsid w:val="00F706BE"/>
    <w:rsid w:val="00F778F5"/>
    <w:rsid w:val="00F9048B"/>
    <w:rsid w:val="00F9167F"/>
    <w:rsid w:val="00FA42B3"/>
    <w:rsid w:val="00FA72C8"/>
    <w:rsid w:val="00FA7312"/>
    <w:rsid w:val="00FB2008"/>
    <w:rsid w:val="00FC233F"/>
    <w:rsid w:val="00FC2BB7"/>
    <w:rsid w:val="00FD0BA2"/>
    <w:rsid w:val="00FD20C3"/>
    <w:rsid w:val="00FD746D"/>
    <w:rsid w:val="00FE3AC1"/>
    <w:rsid w:val="00FE7C4B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2226">
      <o:colormru v:ext="edit" colors="#ff614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B7"/>
    <w:rPr>
      <w:sz w:val="24"/>
      <w:szCs w:val="24"/>
    </w:rPr>
  </w:style>
  <w:style w:type="paragraph" w:styleId="Ttulo1">
    <w:name w:val="heading 1"/>
    <w:basedOn w:val="Normal"/>
    <w:next w:val="Normal"/>
    <w:qFormat/>
    <w:rsid w:val="00FC2BB7"/>
    <w:pPr>
      <w:keepNext/>
      <w:jc w:val="right"/>
      <w:outlineLvl w:val="0"/>
    </w:pPr>
    <w:rPr>
      <w:rFonts w:ascii="Tahoma" w:hAnsi="Tahoma" w:cs="Tahoma"/>
      <w:sz w:val="44"/>
    </w:rPr>
  </w:style>
  <w:style w:type="paragraph" w:styleId="Ttulo2">
    <w:name w:val="heading 2"/>
    <w:basedOn w:val="Normal"/>
    <w:next w:val="Normal"/>
    <w:qFormat/>
    <w:rsid w:val="00FC2BB7"/>
    <w:pPr>
      <w:keepNext/>
      <w:jc w:val="right"/>
      <w:outlineLvl w:val="1"/>
    </w:pPr>
    <w:rPr>
      <w:rFonts w:ascii="Arial" w:hAnsi="Arial" w:cs="Arial"/>
      <w:sz w:val="56"/>
    </w:rPr>
  </w:style>
  <w:style w:type="paragraph" w:styleId="Ttulo3">
    <w:name w:val="heading 3"/>
    <w:basedOn w:val="Normal"/>
    <w:next w:val="Normal"/>
    <w:qFormat/>
    <w:rsid w:val="00FC2BB7"/>
    <w:pPr>
      <w:keepNext/>
      <w:jc w:val="right"/>
      <w:outlineLvl w:val="2"/>
    </w:pPr>
    <w:rPr>
      <w:rFonts w:ascii="Arial" w:hAnsi="Arial" w:cs="Arial"/>
      <w:b/>
      <w:bCs/>
      <w:sz w:val="56"/>
    </w:rPr>
  </w:style>
  <w:style w:type="paragraph" w:styleId="Ttulo4">
    <w:name w:val="heading 4"/>
    <w:basedOn w:val="Normal"/>
    <w:next w:val="Normal"/>
    <w:link w:val="Ttulo4Car"/>
    <w:qFormat/>
    <w:rsid w:val="00FC2BB7"/>
    <w:pPr>
      <w:keepNext/>
      <w:spacing w:before="120" w:after="120"/>
      <w:jc w:val="center"/>
      <w:outlineLvl w:val="3"/>
    </w:pPr>
    <w:rPr>
      <w:b/>
      <w:color w:val="C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FC2BB7"/>
    <w:pPr>
      <w:pBdr>
        <w:top w:val="single" w:sz="24" w:space="1" w:color="auto"/>
        <w:left w:val="single" w:sz="24" w:space="4" w:color="auto"/>
        <w:bottom w:val="single" w:sz="24" w:space="12" w:color="auto"/>
        <w:right w:val="single" w:sz="24" w:space="4" w:color="auto"/>
      </w:pBdr>
      <w:shd w:val="clear" w:color="auto" w:fill="00000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Esquemarojo">
    <w:name w:val="Esquema rojo"/>
    <w:basedOn w:val="Normal"/>
    <w:qFormat/>
    <w:rsid w:val="00FC2BB7"/>
    <w:pPr>
      <w:numPr>
        <w:numId w:val="1"/>
      </w:numPr>
      <w:spacing w:before="360" w:after="360"/>
      <w:ind w:left="1060" w:hanging="703"/>
    </w:pPr>
    <w:rPr>
      <w:rFonts w:ascii="Corbel" w:hAnsi="Corbel"/>
      <w:b/>
      <w:color w:val="0D0D0D"/>
      <w:sz w:val="22"/>
      <w:szCs w:val="18"/>
      <w:lang w:eastAsia="es-ES_tradnl"/>
    </w:rPr>
  </w:style>
  <w:style w:type="paragraph" w:styleId="Textoindependiente2">
    <w:name w:val="Body Text 2"/>
    <w:basedOn w:val="Normal"/>
    <w:semiHidden/>
    <w:rsid w:val="00FC2BB7"/>
    <w:pPr>
      <w:jc w:val="both"/>
    </w:pPr>
    <w:rPr>
      <w:b/>
      <w:bCs/>
    </w:rPr>
  </w:style>
  <w:style w:type="paragraph" w:styleId="Textoindependiente3">
    <w:name w:val="Body Text 3"/>
    <w:basedOn w:val="Normal"/>
    <w:semiHidden/>
    <w:rsid w:val="00FC2BB7"/>
    <w:rPr>
      <w:rFonts w:ascii="Arial" w:hAnsi="Arial" w:cs="Arial"/>
      <w:b/>
      <w:bCs/>
      <w:i/>
      <w:iCs/>
      <w:color w:val="FFFFFF"/>
    </w:rPr>
  </w:style>
  <w:style w:type="paragraph" w:styleId="Encabezado">
    <w:name w:val="header"/>
    <w:basedOn w:val="Normal"/>
    <w:semiHidden/>
    <w:rsid w:val="00FC2B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C2BB7"/>
    <w:pPr>
      <w:tabs>
        <w:tab w:val="center" w:pos="4252"/>
        <w:tab w:val="right" w:pos="8504"/>
      </w:tabs>
    </w:pPr>
  </w:style>
  <w:style w:type="paragraph" w:customStyle="1" w:styleId="Adentrado1conpuntonaranja">
    <w:name w:val="Adentrado1 (con punto naranja)"/>
    <w:basedOn w:val="Normal"/>
    <w:rsid w:val="00B95A68"/>
    <w:pPr>
      <w:numPr>
        <w:numId w:val="2"/>
      </w:numPr>
      <w:tabs>
        <w:tab w:val="left" w:pos="680"/>
      </w:tabs>
      <w:spacing w:before="60" w:after="60"/>
      <w:jc w:val="both"/>
    </w:pPr>
    <w:rPr>
      <w:rFonts w:ascii="Tahoma" w:hAnsi="Tahoma"/>
      <w:color w:val="333333"/>
      <w:sz w:val="22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AC77B8"/>
    <w:rPr>
      <w:b/>
      <w:color w:val="C00000"/>
      <w:sz w:val="32"/>
      <w:szCs w:val="24"/>
    </w:rPr>
  </w:style>
  <w:style w:type="paragraph" w:customStyle="1" w:styleId="Adentrado-1">
    <w:name w:val="Adentrado-1"/>
    <w:basedOn w:val="Normal"/>
    <w:link w:val="Adentrado-1Car"/>
    <w:rsid w:val="00780782"/>
    <w:pPr>
      <w:spacing w:before="60" w:after="60"/>
      <w:ind w:firstLine="284"/>
      <w:jc w:val="both"/>
    </w:pPr>
    <w:rPr>
      <w:rFonts w:ascii="Tahoma" w:hAnsi="Tahoma"/>
      <w:color w:val="333333"/>
      <w:sz w:val="20"/>
      <w:szCs w:val="20"/>
    </w:rPr>
  </w:style>
  <w:style w:type="character" w:customStyle="1" w:styleId="Adentrado-1Car">
    <w:name w:val="Adentrado-1 Car"/>
    <w:basedOn w:val="Fuentedeprrafopredeter"/>
    <w:link w:val="Adentrado-1"/>
    <w:rsid w:val="00780782"/>
    <w:rPr>
      <w:rFonts w:ascii="Tahoma" w:hAnsi="Tahoma"/>
      <w:color w:val="333333"/>
    </w:rPr>
  </w:style>
  <w:style w:type="paragraph" w:styleId="Sinespaciado">
    <w:name w:val="No Spacing"/>
    <w:link w:val="SinespaciadoCar"/>
    <w:uiPriority w:val="1"/>
    <w:qFormat/>
    <w:rsid w:val="00E63926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392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9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926"/>
    <w:rPr>
      <w:rFonts w:ascii="Tahoma" w:hAnsi="Tahoma" w:cs="Tahoma"/>
      <w:sz w:val="16"/>
      <w:szCs w:val="16"/>
    </w:rPr>
  </w:style>
  <w:style w:type="paragraph" w:styleId="TDC2">
    <w:name w:val="toc 2"/>
    <w:basedOn w:val="TDC1"/>
    <w:semiHidden/>
    <w:rsid w:val="00E71287"/>
    <w:pPr>
      <w:tabs>
        <w:tab w:val="left" w:leader="dot" w:pos="964"/>
        <w:tab w:val="right" w:leader="dot" w:pos="8505"/>
      </w:tabs>
      <w:spacing w:before="60" w:after="60"/>
      <w:ind w:left="964" w:right="567"/>
      <w:jc w:val="both"/>
    </w:pPr>
    <w:rPr>
      <w:rFonts w:ascii="Tahoma" w:hAnsi="Tahoma"/>
      <w:b/>
      <w:color w:val="333333"/>
      <w:sz w:val="28"/>
      <w:szCs w:val="20"/>
      <w:lang w:val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71287"/>
  </w:style>
  <w:style w:type="paragraph" w:styleId="Prrafodelista">
    <w:name w:val="List Paragraph"/>
    <w:basedOn w:val="Normal"/>
    <w:uiPriority w:val="34"/>
    <w:qFormat/>
    <w:rsid w:val="0086727A"/>
    <w:pPr>
      <w:ind w:left="708"/>
    </w:pPr>
  </w:style>
  <w:style w:type="table" w:styleId="Tablaconcuadrcula">
    <w:name w:val="Table Grid"/>
    <w:basedOn w:val="Tablanormal"/>
    <w:rsid w:val="00E01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C3F81"/>
  </w:style>
  <w:style w:type="paragraph" w:customStyle="1" w:styleId="Normal-2">
    <w:name w:val="Normal-2"/>
    <w:basedOn w:val="Normal"/>
    <w:rsid w:val="00665089"/>
    <w:pPr>
      <w:ind w:left="1021"/>
      <w:jc w:val="both"/>
    </w:pPr>
    <w:rPr>
      <w:rFonts w:ascii="Tahoma" w:hAnsi="Tahoma"/>
      <w:color w:val="333333"/>
      <w:sz w:val="22"/>
      <w:szCs w:val="20"/>
      <w:lang w:val="es-ES_tradnl"/>
    </w:rPr>
  </w:style>
  <w:style w:type="paragraph" w:customStyle="1" w:styleId="Puntonaranja">
    <w:name w:val="Punto naranja"/>
    <w:basedOn w:val="Normal"/>
    <w:rsid w:val="00FD0BA2"/>
    <w:pPr>
      <w:numPr>
        <w:numId w:val="13"/>
      </w:numPr>
      <w:spacing w:before="60" w:after="60"/>
      <w:jc w:val="both"/>
    </w:pPr>
    <w:rPr>
      <w:rFonts w:ascii="Tahoma" w:hAnsi="Tahoma"/>
      <w:color w:val="333333"/>
      <w:sz w:val="22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371D09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717622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53D60"/>
    <w:rPr>
      <w:color w:val="8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14A62"/>
    <w:rPr>
      <w:color w:val="808080"/>
    </w:rPr>
  </w:style>
  <w:style w:type="paragraph" w:customStyle="1" w:styleId="Pregunta">
    <w:name w:val="Pregunta"/>
    <w:basedOn w:val="Normal"/>
    <w:autoRedefine/>
    <w:rsid w:val="00B129D5"/>
    <w:pPr>
      <w:keepNext/>
      <w:keepLines/>
      <w:tabs>
        <w:tab w:val="num" w:pos="360"/>
      </w:tabs>
      <w:ind w:left="357" w:hanging="357"/>
    </w:pPr>
    <w:rPr>
      <w:rFonts w:ascii="Arial" w:hAnsi="Arial"/>
      <w:b/>
      <w:sz w:val="18"/>
      <w:szCs w:val="20"/>
    </w:rPr>
  </w:style>
  <w:style w:type="paragraph" w:customStyle="1" w:styleId="Respuesta">
    <w:name w:val="Respuesta"/>
    <w:basedOn w:val="Normal"/>
    <w:autoRedefine/>
    <w:rsid w:val="00B129D5"/>
    <w:pPr>
      <w:keepNext/>
      <w:keepLines/>
      <w:tabs>
        <w:tab w:val="right" w:leader="dot" w:pos="5103"/>
      </w:tabs>
      <w:ind w:left="454" w:right="567"/>
    </w:pPr>
    <w:rPr>
      <w:rFonts w:ascii="Arial" w:hAnsi="Arial"/>
      <w:b/>
      <w:i/>
      <w:sz w:val="16"/>
      <w:szCs w:val="20"/>
      <w:lang w:val="ca-ES"/>
    </w:rPr>
  </w:style>
  <w:style w:type="paragraph" w:customStyle="1" w:styleId="NombredeCampo">
    <w:name w:val="Nombre de Campo"/>
    <w:basedOn w:val="Normal"/>
    <w:next w:val="Respuesta"/>
    <w:autoRedefine/>
    <w:rsid w:val="00B129D5"/>
    <w:pPr>
      <w:keepNext/>
      <w:keepLines/>
      <w:jc w:val="both"/>
    </w:pPr>
    <w:rPr>
      <w:rFonts w:ascii="Arial" w:hAnsi="Arial"/>
      <w:i/>
      <w:smallCaps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simplelogica.com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E539-4AD2-474E-B747-1245B285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2243</Words>
  <Characters>12338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Simple Lógica</Company>
  <LinksUpToDate>false</LinksUpToDate>
  <CharactersWithSpaces>14552</CharactersWithSpaces>
  <SharedDoc>false</SharedDoc>
  <HLinks>
    <vt:vector size="6" baseType="variant"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http://www.simplelogica.com/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2</cp:revision>
  <cp:lastPrinted>2018-01-12T10:53:00Z</cp:lastPrinted>
  <dcterms:created xsi:type="dcterms:W3CDTF">2018-02-16T10:51:00Z</dcterms:created>
  <dcterms:modified xsi:type="dcterms:W3CDTF">2018-02-16T10:51:00Z</dcterms:modified>
</cp:coreProperties>
</file>